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34075266" w:rsidR="00093CA9" w:rsidRDefault="003741E9" w:rsidP="00093CA9">
            <w:r>
              <w:t>Blomstein</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5091F3C3" w:rsidR="00093CA9" w:rsidRDefault="006840CD" w:rsidP="00093CA9">
            <w:r>
              <w:t>EU</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388B21F7" w:rsidR="00093CA9" w:rsidRDefault="00AF2C89" w:rsidP="00093CA9">
            <w:r w:rsidRPr="00AF2C89">
              <w:t>Commission Delegated Regulations (EU) 2021/1253, 2021/1255 and 2021/1257 of 21 April 2021 and 2015/35 of 10 October 2014 (relevant to investment firms, AIFs and insurers)</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5ECE9DEB" w14:textId="77777777" w:rsidR="00093CA9" w:rsidRDefault="007F5C40" w:rsidP="00093CA9">
            <w:r w:rsidRPr="007F5C40">
              <w:t>Commission Delegated Regulation (EU) 2021/1253 of 21 April 2021</w:t>
            </w:r>
            <w:r>
              <w:t>:</w:t>
            </w:r>
          </w:p>
          <w:p w14:paraId="01B8CB18" w14:textId="77777777" w:rsidR="007F5C40" w:rsidRDefault="00501C78" w:rsidP="00093CA9">
            <w:hyperlink r:id="rId17" w:history="1">
              <w:r w:rsidRPr="00AC7264">
                <w:rPr>
                  <w:rStyle w:val="Hyperlink"/>
                </w:rPr>
                <w:t>https://web.archive.org/web/20250708161005/https://eur-lex.europa.eu/eli/reg_del/2021/1253/oj/eng</w:t>
              </w:r>
            </w:hyperlink>
            <w:r>
              <w:t xml:space="preserve"> </w:t>
            </w:r>
          </w:p>
          <w:p w14:paraId="0D50690F" w14:textId="77777777" w:rsidR="00501C78" w:rsidRDefault="006D346E" w:rsidP="00093CA9">
            <w:r w:rsidRPr="006D346E">
              <w:t>Commission Delegated Regulation (EU) 2021/1255 of 21 April 2021</w:t>
            </w:r>
            <w:r>
              <w:t>:</w:t>
            </w:r>
          </w:p>
          <w:p w14:paraId="382CB28A" w14:textId="7B19083C" w:rsidR="004B2A34" w:rsidRDefault="004B2A34" w:rsidP="00093CA9">
            <w:hyperlink r:id="rId18" w:history="1">
              <w:r w:rsidRPr="00AC7264">
                <w:rPr>
                  <w:rStyle w:val="Hyperlink"/>
                </w:rPr>
                <w:t>https://web.archive.org/web/20250708161149/https://eur-lex.europa.eu/eli/reg_del/2021/1255/oj/eng</w:t>
              </w:r>
            </w:hyperlink>
            <w:r>
              <w:t xml:space="preserve"> </w:t>
            </w:r>
          </w:p>
          <w:p w14:paraId="53627F6E" w14:textId="77777777" w:rsidR="006D346E" w:rsidRDefault="006D346E" w:rsidP="00093CA9">
            <w:r w:rsidRPr="006D346E">
              <w:t>Commission Delegated Regulation (EU) 2021/1257 of 21 April 2021</w:t>
            </w:r>
            <w:r>
              <w:t>:</w:t>
            </w:r>
          </w:p>
          <w:p w14:paraId="3B340909" w14:textId="267E432C" w:rsidR="004B2A34" w:rsidRDefault="004B2A34" w:rsidP="00093CA9">
            <w:hyperlink r:id="rId19" w:history="1">
              <w:r w:rsidRPr="00AC7264">
                <w:rPr>
                  <w:rStyle w:val="Hyperlink"/>
                </w:rPr>
                <w:t>https://web.archive.org/web/20250708161319/https://eur-lex.europa.eu/eli/reg_del/2021/1257/oj/eng</w:t>
              </w:r>
            </w:hyperlink>
            <w:r>
              <w:t xml:space="preserve"> </w:t>
            </w:r>
          </w:p>
          <w:p w14:paraId="52495C8A" w14:textId="77777777" w:rsidR="006D346E" w:rsidRDefault="00C168B1" w:rsidP="00093CA9">
            <w:r w:rsidRPr="00C168B1">
              <w:t>Commission Delegated Regulation (EU) 2015/35 of 10 October 2014</w:t>
            </w:r>
            <w:r>
              <w:t>:</w:t>
            </w:r>
          </w:p>
          <w:p w14:paraId="1523C232" w14:textId="67B3B9EE" w:rsidR="0073451A" w:rsidRDefault="008C4C82" w:rsidP="00093CA9">
            <w:hyperlink r:id="rId20" w:history="1">
              <w:r w:rsidRPr="00AC7264">
                <w:rPr>
                  <w:rStyle w:val="Hyperlink"/>
                </w:rPr>
                <w:t>https://web.archive.org/web/20250708161706/https://eur-lex.europa.eu/legal-content/EN/TXT/?uri=CELEX%3A02015R0035-20241114</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223690CA" w:rsidR="00093CA9" w:rsidRDefault="00AF2C89"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lastRenderedPageBreak/>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225D4869"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446CEFC1" w:rsidR="00093CA9" w:rsidRDefault="00AF2C89"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6740A37B" w14:textId="6DF4DFE4" w:rsidR="00CF7508" w:rsidRDefault="00132D35" w:rsidP="00093CA9">
            <w:r w:rsidRPr="00132D35">
              <w:t>Commission Delegated Regulation (EU) 2021/1253 amends Delegated Regulation (EU) 2017/565 and forms part of the regulatory architecture under the Markets in Financial Instruments Directive (MiFID II). Its primary purpose is to integrate sustainability factors, sustainability risks, and sustainability preferences into the organisational requirements and operating conditions applicable to investment firms.</w:t>
            </w:r>
            <w:r w:rsidR="00CF7508">
              <w:t xml:space="preserve"> </w:t>
            </w:r>
          </w:p>
          <w:p w14:paraId="4C0ED0C6" w14:textId="77777777" w:rsidR="00CF7508" w:rsidRDefault="004D56E5" w:rsidP="00093CA9">
            <w:r w:rsidRPr="004D56E5">
              <w:t>Commission Delegated Regulation (EU) 2021/1255 amends Delegated Regulation (EU) No 231/2013, which supplements the Alternative Investment Fund Managers Directive (AIFMD). It aims to ensure that Alternative Investment Fund Managers (AIFMs) integrate sustainability risks into their risk management processes, organisational arrangements and due diligence procedures.</w:t>
            </w:r>
          </w:p>
          <w:p w14:paraId="078FB02F" w14:textId="530374FA" w:rsidR="00B91339" w:rsidRDefault="00AA30D3" w:rsidP="00B91339">
            <w:r w:rsidRPr="00AA30D3">
              <w:t xml:space="preserve">Commission Delegated Regulation (EU) 2021/1257 modifies Delegated Regulations (EU) 2017/2358 and 2017/2359, both issued under the Insurance Distribution Directive (IDD). </w:t>
            </w:r>
            <w:r>
              <w:t>Its purpose is</w:t>
            </w:r>
            <w:r w:rsidRPr="00AA30D3">
              <w:t xml:space="preserve"> to embed sustainability considerations into the product oversight and governance processes of insurance undertakings and intermediaries, and into their conduct of business obligations</w:t>
            </w:r>
            <w:r w:rsidR="00131F68">
              <w:t>.</w:t>
            </w:r>
          </w:p>
          <w:p w14:paraId="111C34C3" w14:textId="2EB91B6A" w:rsidR="005B6FC6" w:rsidRDefault="00B91339" w:rsidP="00B91339">
            <w:r>
              <w:t>Commission Delegated Regulation (EU) 2015/35 supplements Directive 2009/138/EC (Solvency II) and serves as the principal delegated act implementing Solvency II across all three pillars: valuation and capital requirements (Pillar I); governance (Pillar II); and transparency (Pillar III).</w:t>
            </w:r>
            <w:r w:rsidR="0078706A" w:rsidRPr="0078706A">
              <w:t xml:space="preserve"> </w:t>
            </w:r>
            <w:r w:rsidR="0078706A">
              <w:t>With</w:t>
            </w:r>
            <w:r w:rsidR="0078706A" w:rsidRPr="0078706A">
              <w:t xml:space="preserve"> its amended form,</w:t>
            </w:r>
            <w:r w:rsidR="005B6FC6">
              <w:t xml:space="preserve"> t</w:t>
            </w:r>
            <w:r w:rsidR="005B6FC6" w:rsidRPr="005B6FC6">
              <w:t>he governance system must now take sustainability risk into account in the risk management system, investment policy</w:t>
            </w:r>
            <w:r w:rsidR="005B6FC6">
              <w:t xml:space="preserve"> </w:t>
            </w:r>
            <w:r w:rsidR="005B6FC6" w:rsidRPr="005B6FC6">
              <w:t>and remuneration practices.</w:t>
            </w:r>
          </w:p>
          <w:p w14:paraId="18257824" w14:textId="00DD4D80" w:rsidR="005B6FC6" w:rsidRDefault="005B6FC6" w:rsidP="00B91339">
            <w:r>
              <w:t>All</w:t>
            </w:r>
            <w:r w:rsidRPr="005B6FC6">
              <w:t xml:space="preserve"> of these regulations </w:t>
            </w:r>
            <w:r w:rsidR="00FE6FB1" w:rsidRPr="005B6FC6">
              <w:t>form</w:t>
            </w:r>
            <w:r w:rsidRPr="005B6FC6">
              <w:t xml:space="preserve"> a critical part of the EU's strategy to align financial regulation with sustainability objectives. They operate within distinct regulatory regimes but collectively advance the integration of climate and sustainability considerations into both disclosure practices and prudential supervision.</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6C9FCC73" w:rsidR="00093CA9" w:rsidRDefault="006D0351"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lastRenderedPageBreak/>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5C609816" w14:textId="23286C86" w:rsidR="00093CA9" w:rsidRDefault="006C5561" w:rsidP="00093CA9">
            <w:r w:rsidRPr="00132D35">
              <w:t>Commission Delegated Regulation (EU) 2021/1253</w:t>
            </w:r>
            <w:r w:rsidR="00A336D6">
              <w:t>: 2021</w:t>
            </w:r>
          </w:p>
          <w:p w14:paraId="786013B5" w14:textId="0B9C2B35" w:rsidR="00A336D6" w:rsidRDefault="006C5561" w:rsidP="00093CA9">
            <w:r w:rsidRPr="004D56E5">
              <w:t>Commission Delegated Regulation (EU) 2021/1255</w:t>
            </w:r>
            <w:r w:rsidR="00A336D6">
              <w:t>: 2021</w:t>
            </w:r>
          </w:p>
          <w:p w14:paraId="0B0E7280" w14:textId="228928DA" w:rsidR="00A336D6" w:rsidRDefault="006C5561" w:rsidP="00093CA9">
            <w:r w:rsidRPr="00AA30D3">
              <w:t>Commission Delegated Regulation (EU) 2021/1257</w:t>
            </w:r>
            <w:r w:rsidR="00A336D6">
              <w:t>: 2021</w:t>
            </w:r>
          </w:p>
          <w:p w14:paraId="22A2FF1A" w14:textId="252753A9" w:rsidR="00A336D6" w:rsidRPr="00A336D6" w:rsidRDefault="006C5561" w:rsidP="00093CA9">
            <w:r>
              <w:t>Commission Delegated Regulation (EU) 2015/35</w:t>
            </w:r>
            <w:r w:rsidR="00A336D6">
              <w:t>: 201</w:t>
            </w:r>
            <w:r w:rsidR="00146AD5">
              <w:t>5</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60782531" w:rsidR="00093CA9" w:rsidRDefault="00146AD5" w:rsidP="00093CA9">
            <w:r>
              <w:t>European Commission</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44AC430B" w14:textId="08DFC460" w:rsidR="00484480" w:rsidRDefault="006C5561" w:rsidP="00484480">
            <w:r w:rsidRPr="00132D35">
              <w:t>Commission Delegated Regulation (EU) 2021/125</w:t>
            </w:r>
            <w:r w:rsidR="00FE6C94">
              <w:t>3</w:t>
            </w:r>
            <w:r w:rsidR="00484480">
              <w:t xml:space="preserve">: </w:t>
            </w:r>
            <w:r w:rsidR="00484480" w:rsidRPr="00484480">
              <w:t>European Securities and Markets Authority (ESMA)</w:t>
            </w:r>
            <w:r w:rsidR="0052214B">
              <w:t xml:space="preserve"> – here, authority number 1</w:t>
            </w:r>
          </w:p>
          <w:p w14:paraId="1F94CA1A" w14:textId="4C0D82EE" w:rsidR="00484480" w:rsidRDefault="006C5561" w:rsidP="00484480">
            <w:r w:rsidRPr="004D56E5">
              <w:t>Commission Delegated Regulation (EU) 2021/1255</w:t>
            </w:r>
            <w:r w:rsidR="00484480">
              <w:t xml:space="preserve">: </w:t>
            </w:r>
            <w:r w:rsidR="00484480" w:rsidRPr="00484480">
              <w:t>European Securities and Markets Authority (ESMA)</w:t>
            </w:r>
            <w:r w:rsidR="009276F4">
              <w:t xml:space="preserve"> – here, authority number 2</w:t>
            </w:r>
          </w:p>
          <w:p w14:paraId="2A19F767" w14:textId="753E5F28" w:rsidR="00484480" w:rsidRDefault="006C5561" w:rsidP="00484480">
            <w:r w:rsidRPr="00AA30D3">
              <w:t>Commission Delegated Regulation (EU) 2021/1257</w:t>
            </w:r>
            <w:r w:rsidR="00484480">
              <w:t xml:space="preserve">: </w:t>
            </w:r>
            <w:r w:rsidR="00984B1C">
              <w:t>E</w:t>
            </w:r>
            <w:r w:rsidR="00984B1C" w:rsidRPr="00984B1C">
              <w:t>uropean Insurance and Occupational Pensions Authority (EIOPA)</w:t>
            </w:r>
            <w:r w:rsidR="0052214B">
              <w:t xml:space="preserve"> – here, authority number </w:t>
            </w:r>
            <w:r w:rsidR="009276F4">
              <w:t>3</w:t>
            </w:r>
          </w:p>
          <w:p w14:paraId="58D97C26" w14:textId="40F058F2" w:rsidR="00093CA9" w:rsidRPr="006B7B0D" w:rsidRDefault="006C5561" w:rsidP="00484480">
            <w:r>
              <w:t>Commission Delegated Regulation (EU) 2015/35</w:t>
            </w:r>
            <w:r w:rsidR="00484480">
              <w:t xml:space="preserve">: </w:t>
            </w:r>
            <w:r w:rsidR="00984B1C">
              <w:t>E</w:t>
            </w:r>
            <w:r w:rsidR="00984B1C" w:rsidRPr="00984B1C">
              <w:t>uropean Insurance and Occupational Pensions Authority (EIOPA)</w:t>
            </w:r>
            <w:r w:rsidR="009276F4">
              <w:t xml:space="preserve"> – here, authority number 4</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57104CCD"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275F3715" w:rsidR="00093CA9" w:rsidRPr="006B7B0D" w:rsidRDefault="001925AB"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6642630B" w:rsidR="00093CA9" w:rsidRPr="006B7B0D" w:rsidRDefault="001925AB" w:rsidP="00093CA9">
            <w:r>
              <w:t>X</w:t>
            </w:r>
          </w:p>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3B846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lastRenderedPageBreak/>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2BE386E4" w:rsidR="00093CA9" w:rsidRPr="006B7B0D" w:rsidRDefault="0066702B" w:rsidP="00093CA9">
            <w:r>
              <w:t>X</w:t>
            </w:r>
          </w:p>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501760A5"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618528A"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1E236CF3" w:rsidR="00093CA9" w:rsidRPr="006B7B0D" w:rsidRDefault="0066702B" w:rsidP="00093CA9">
            <w:r>
              <w:t>X</w:t>
            </w:r>
          </w:p>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lastRenderedPageBreak/>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1925AB" w14:paraId="50F2DDFC" w14:textId="77777777" w:rsidTr="2452D0D6">
        <w:trPr>
          <w:trHeight w:val="1020"/>
        </w:trPr>
        <w:tc>
          <w:tcPr>
            <w:tcW w:w="1063" w:type="dxa"/>
            <w:vAlign w:val="center"/>
          </w:tcPr>
          <w:p w14:paraId="6B62A7E8" w14:textId="77777777" w:rsidR="001925AB" w:rsidRDefault="001925AB" w:rsidP="001925AB"/>
        </w:tc>
        <w:tc>
          <w:tcPr>
            <w:tcW w:w="9169" w:type="dxa"/>
            <w:gridSpan w:val="4"/>
            <w:vAlign w:val="center"/>
          </w:tcPr>
          <w:p w14:paraId="3DCB5C2D" w14:textId="119998E4" w:rsidR="001925AB" w:rsidRDefault="006C5561" w:rsidP="001925AB">
            <w:r w:rsidRPr="004D56E5">
              <w:t>Commission Delegated Regulation (EU) 2021/1255</w:t>
            </w:r>
            <w:r w:rsidR="001925AB">
              <w:t xml:space="preserve">: </w:t>
            </w:r>
            <w:r w:rsidR="00584F4D">
              <w:t>P</w:t>
            </w:r>
            <w:r w:rsidR="00584F4D" w:rsidRPr="00584F4D">
              <w:t>ractical supervisory follow-through is still evolving, suggesting moderate institutional capacity.</w:t>
            </w:r>
          </w:p>
          <w:p w14:paraId="42D06D03" w14:textId="109FE403" w:rsidR="001925AB" w:rsidRDefault="006C5561" w:rsidP="001925AB">
            <w:r w:rsidRPr="00AA30D3">
              <w:t>Commission Delegated Regulation (EU) 2021/1257</w:t>
            </w:r>
            <w:r w:rsidR="001925AB">
              <w:t xml:space="preserve">: </w:t>
            </w:r>
            <w:r w:rsidR="009265FA">
              <w:t>E</w:t>
            </w:r>
            <w:r w:rsidR="009265FA" w:rsidRPr="009265FA">
              <w:t>nforcement of distributive standards relies heavily on national authorities, making EIOPA’s direct capacity more limited compared to Solvency II</w:t>
            </w:r>
            <w:r w:rsidR="009265FA">
              <w:t>.</w:t>
            </w:r>
          </w:p>
        </w:tc>
      </w:tr>
      <w:tr w:rsidR="001925AB" w14:paraId="7C1E73C1" w14:textId="77777777" w:rsidTr="2452D0D6">
        <w:trPr>
          <w:trHeight w:val="800"/>
        </w:trPr>
        <w:tc>
          <w:tcPr>
            <w:tcW w:w="1063" w:type="dxa"/>
            <w:vAlign w:val="center"/>
          </w:tcPr>
          <w:p w14:paraId="103AFAD8" w14:textId="77777777" w:rsidR="001925AB" w:rsidRPr="00BA1D39" w:rsidRDefault="001925AB" w:rsidP="001925AB">
            <w:pPr>
              <w:rPr>
                <w:b/>
                <w:bCs/>
              </w:rPr>
            </w:pPr>
            <w:r w:rsidRPr="00BA1D39">
              <w:rPr>
                <w:b/>
                <w:bCs/>
              </w:rPr>
              <w:t>16</w:t>
            </w:r>
          </w:p>
        </w:tc>
        <w:tc>
          <w:tcPr>
            <w:tcW w:w="9169" w:type="dxa"/>
            <w:gridSpan w:val="4"/>
            <w:shd w:val="clear" w:color="auto" w:fill="DEEAF6" w:themeFill="accent5" w:themeFillTint="33"/>
            <w:vAlign w:val="center"/>
          </w:tcPr>
          <w:p w14:paraId="41B5F255" w14:textId="6FEDF21D" w:rsidR="001925AB" w:rsidRDefault="001925AB" w:rsidP="001925AB">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1925AB" w14:paraId="619A4BF8" w14:textId="77777777" w:rsidTr="2452D0D6">
        <w:trPr>
          <w:trHeight w:val="57"/>
        </w:trPr>
        <w:tc>
          <w:tcPr>
            <w:tcW w:w="1063" w:type="dxa"/>
            <w:vAlign w:val="center"/>
          </w:tcPr>
          <w:p w14:paraId="374B9AE4" w14:textId="77777777" w:rsidR="001925AB" w:rsidRDefault="001925AB" w:rsidP="001925AB">
            <w:r>
              <w:t>16.1</w:t>
            </w:r>
          </w:p>
        </w:tc>
        <w:tc>
          <w:tcPr>
            <w:tcW w:w="4686" w:type="dxa"/>
            <w:gridSpan w:val="2"/>
            <w:shd w:val="clear" w:color="auto" w:fill="E2EFD9" w:themeFill="accent6" w:themeFillTint="33"/>
            <w:vAlign w:val="center"/>
          </w:tcPr>
          <w:p w14:paraId="6A81E655" w14:textId="77777777" w:rsidR="001925AB" w:rsidRDefault="001925AB" w:rsidP="001925AB">
            <w:r>
              <w:t>Not specified</w:t>
            </w:r>
          </w:p>
        </w:tc>
        <w:tc>
          <w:tcPr>
            <w:tcW w:w="4483" w:type="dxa"/>
            <w:gridSpan w:val="2"/>
            <w:vAlign w:val="center"/>
          </w:tcPr>
          <w:p w14:paraId="146E2BFD" w14:textId="2C917AC7" w:rsidR="001925AB" w:rsidRDefault="001925AB" w:rsidP="001925AB"/>
        </w:tc>
      </w:tr>
      <w:tr w:rsidR="001925AB" w14:paraId="461D4D38" w14:textId="77777777" w:rsidTr="2452D0D6">
        <w:trPr>
          <w:trHeight w:val="57"/>
        </w:trPr>
        <w:tc>
          <w:tcPr>
            <w:tcW w:w="1063" w:type="dxa"/>
            <w:vAlign w:val="center"/>
          </w:tcPr>
          <w:p w14:paraId="776158BC" w14:textId="77777777" w:rsidR="001925AB" w:rsidRDefault="001925AB" w:rsidP="001925AB">
            <w:r>
              <w:t>16.2</w:t>
            </w:r>
          </w:p>
        </w:tc>
        <w:tc>
          <w:tcPr>
            <w:tcW w:w="4686" w:type="dxa"/>
            <w:gridSpan w:val="2"/>
            <w:shd w:val="clear" w:color="auto" w:fill="E2EFD9" w:themeFill="accent6" w:themeFillTint="33"/>
            <w:vAlign w:val="center"/>
          </w:tcPr>
          <w:p w14:paraId="6C9616DC" w14:textId="77777777" w:rsidR="001925AB" w:rsidRDefault="001925AB" w:rsidP="001925AB">
            <w:r>
              <w:t>Yes</w:t>
            </w:r>
          </w:p>
        </w:tc>
        <w:tc>
          <w:tcPr>
            <w:tcW w:w="4483" w:type="dxa"/>
            <w:gridSpan w:val="2"/>
            <w:vAlign w:val="center"/>
          </w:tcPr>
          <w:p w14:paraId="54F7EBC8" w14:textId="642001BA" w:rsidR="001925AB" w:rsidRDefault="00A923A0" w:rsidP="001925AB">
            <w:r>
              <w:t>X</w:t>
            </w:r>
          </w:p>
        </w:tc>
      </w:tr>
      <w:tr w:rsidR="001925AB" w14:paraId="0763562F" w14:textId="77777777" w:rsidTr="2452D0D6">
        <w:trPr>
          <w:trHeight w:val="1267"/>
        </w:trPr>
        <w:tc>
          <w:tcPr>
            <w:tcW w:w="1063" w:type="dxa"/>
            <w:vAlign w:val="center"/>
          </w:tcPr>
          <w:p w14:paraId="6D2836F5" w14:textId="77777777" w:rsidR="001925AB" w:rsidRPr="00BA1D39" w:rsidRDefault="001925AB" w:rsidP="001925AB">
            <w:pPr>
              <w:rPr>
                <w:b/>
                <w:bCs/>
              </w:rPr>
            </w:pPr>
            <w:r w:rsidRPr="00BA1D39">
              <w:rPr>
                <w:b/>
                <w:bCs/>
              </w:rPr>
              <w:t>17</w:t>
            </w:r>
          </w:p>
        </w:tc>
        <w:tc>
          <w:tcPr>
            <w:tcW w:w="9169" w:type="dxa"/>
            <w:gridSpan w:val="4"/>
            <w:shd w:val="clear" w:color="auto" w:fill="DEEAF6" w:themeFill="accent5" w:themeFillTint="33"/>
            <w:vAlign w:val="center"/>
          </w:tcPr>
          <w:p w14:paraId="3AD13822" w14:textId="4E9275D6" w:rsidR="001925AB" w:rsidRDefault="001925AB" w:rsidP="001925AB">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1925AB" w:rsidRPr="008017F9" w14:paraId="0F291701" w14:textId="77777777" w:rsidTr="2452D0D6">
        <w:trPr>
          <w:trHeight w:val="1020"/>
        </w:trPr>
        <w:tc>
          <w:tcPr>
            <w:tcW w:w="1063" w:type="dxa"/>
            <w:vAlign w:val="center"/>
          </w:tcPr>
          <w:p w14:paraId="08EDF6C9" w14:textId="77777777" w:rsidR="001925AB" w:rsidRDefault="001925AB" w:rsidP="001925AB"/>
        </w:tc>
        <w:tc>
          <w:tcPr>
            <w:tcW w:w="9169" w:type="dxa"/>
            <w:gridSpan w:val="4"/>
            <w:vAlign w:val="center"/>
          </w:tcPr>
          <w:p w14:paraId="66F6D09A" w14:textId="45401292" w:rsidR="001925AB" w:rsidRDefault="00406CE3" w:rsidP="001925AB">
            <w:pPr>
              <w:keepNext/>
              <w:rPr>
                <w:color w:val="000000" w:themeColor="text1"/>
              </w:rPr>
            </w:pPr>
            <w:r>
              <w:rPr>
                <w:color w:val="000000" w:themeColor="text1"/>
              </w:rPr>
              <w:t xml:space="preserve">Only </w:t>
            </w:r>
            <w:r w:rsidR="006C5561">
              <w:t xml:space="preserve">Commission Delegated Regulation (EU) 2015/35 </w:t>
            </w:r>
            <w:r>
              <w:rPr>
                <w:color w:val="000000" w:themeColor="text1"/>
              </w:rPr>
              <w:t xml:space="preserve">contains </w:t>
            </w:r>
            <w:r w:rsidRPr="00406CE3">
              <w:rPr>
                <w:color w:val="000000" w:themeColor="text1"/>
              </w:rPr>
              <w:t>detailed periodic reporting obligations under:</w:t>
            </w:r>
          </w:p>
          <w:p w14:paraId="1ED8FECF" w14:textId="77777777" w:rsidR="00CD5AF5" w:rsidRDefault="00CD5AF5" w:rsidP="00CD5AF5">
            <w:pPr>
              <w:keepNext/>
              <w:rPr>
                <w:color w:val="000000" w:themeColor="text1"/>
              </w:rPr>
            </w:pPr>
            <w:r w:rsidRPr="00CD5AF5">
              <w:rPr>
                <w:color w:val="000000" w:themeColor="text1"/>
              </w:rPr>
              <w:t>-</w:t>
            </w:r>
            <w:r>
              <w:rPr>
                <w:color w:val="000000" w:themeColor="text1"/>
              </w:rPr>
              <w:t xml:space="preserve"> </w:t>
            </w:r>
            <w:r w:rsidR="00F22A33" w:rsidRPr="00F22A33">
              <w:rPr>
                <w:color w:val="000000" w:themeColor="text1"/>
              </w:rPr>
              <w:t>Chapter XII (Public disclosure): Rules on the Solvency and Financial Condition Report (SFCR), which insurers must publish regularly</w:t>
            </w:r>
            <w:r w:rsidR="00F22A33">
              <w:rPr>
                <w:color w:val="000000" w:themeColor="text1"/>
              </w:rPr>
              <w:t>;</w:t>
            </w:r>
          </w:p>
          <w:p w14:paraId="2C2128DB" w14:textId="6792B17C" w:rsidR="00F22A33" w:rsidRPr="00CD5AF5" w:rsidRDefault="00F22A33" w:rsidP="00CD5AF5">
            <w:pPr>
              <w:keepNext/>
              <w:rPr>
                <w:color w:val="000000" w:themeColor="text1"/>
              </w:rPr>
            </w:pPr>
            <w:r>
              <w:rPr>
                <w:color w:val="000000" w:themeColor="text1"/>
              </w:rPr>
              <w:t xml:space="preserve">- </w:t>
            </w:r>
            <w:r w:rsidRPr="00F22A33">
              <w:rPr>
                <w:color w:val="000000" w:themeColor="text1"/>
              </w:rPr>
              <w:t>Chapter XIII (Regular supervisory reporting): Defines the structure, content, deadlines and means of communication for reports to supervisory authorities.</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739"/>
        <w:gridCol w:w="4025"/>
        <w:gridCol w:w="279"/>
        <w:gridCol w:w="216"/>
        <w:gridCol w:w="449"/>
        <w:gridCol w:w="974"/>
        <w:gridCol w:w="362"/>
        <w:gridCol w:w="1693"/>
        <w:gridCol w:w="1724"/>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1285F4F8" w:rsidR="00CF5268" w:rsidRDefault="005A6FAF" w:rsidP="00DD3144">
            <w:r>
              <w:t>X</w:t>
            </w:r>
          </w:p>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37E0CF01" w:rsidR="00CF5268" w:rsidRDefault="00843B6F" w:rsidP="00DD3144">
            <w:r>
              <w:t>X</w:t>
            </w:r>
          </w:p>
        </w:tc>
        <w:tc>
          <w:tcPr>
            <w:tcW w:w="1447" w:type="dxa"/>
            <w:vAlign w:val="center"/>
          </w:tcPr>
          <w:p w14:paraId="04ABBC33" w14:textId="6458A5E3"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2E26688F" w:rsidR="00CF5268" w:rsidRDefault="005A6FAF" w:rsidP="00DD3144">
            <w:r>
              <w:t>X</w:t>
            </w:r>
          </w:p>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0A230415" w:rsidR="00CF5268" w:rsidRDefault="00510145" w:rsidP="00DD3144">
            <w:r>
              <w:t>X</w:t>
            </w: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3813785B" w:rsidR="00CF5268" w:rsidRDefault="005A6FAF" w:rsidP="00DD3144">
            <w:r>
              <w:t>X</w:t>
            </w:r>
          </w:p>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B1906B3" w:rsidR="466E435B" w:rsidRDefault="00510145" w:rsidP="00DD314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34B411BB" w:rsidR="00CF5268" w:rsidRDefault="00510145"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4C42AB57" w:rsidR="466E435B" w:rsidRDefault="00510145" w:rsidP="00DD3144">
            <w:r>
              <w:t>X</w:t>
            </w: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4EAFE074" w:rsidR="466E435B" w:rsidRDefault="00510145" w:rsidP="00DD3144">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00296261" w:rsidR="466E435B" w:rsidRDefault="00510145" w:rsidP="00DD3144">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25BDDF39" w:rsidR="466E435B" w:rsidRDefault="00510145" w:rsidP="00DD3144">
            <w: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681A418F" w:rsidR="00CF5268" w:rsidRDefault="00CF5268" w:rsidP="00DD3144"/>
        </w:tc>
        <w:tc>
          <w:tcPr>
            <w:tcW w:w="1447" w:type="dxa"/>
            <w:vAlign w:val="center"/>
          </w:tcPr>
          <w:p w14:paraId="3EF422E2" w14:textId="52520C59" w:rsidR="00CF5268" w:rsidRDefault="00E32072" w:rsidP="00DD3144">
            <w: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0CBF6622" w:rsidR="00CF5268" w:rsidRDefault="00510145" w:rsidP="00DD3144">
            <w:r>
              <w:t>X</w:t>
            </w:r>
          </w:p>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065E6B26" w:rsidR="004B2D74" w:rsidRDefault="0043769B" w:rsidP="00DD3144">
            <w:r>
              <w:t>X</w:t>
            </w:r>
          </w:p>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26F07578" w:rsidR="004B2D74" w:rsidRDefault="007461FE" w:rsidP="00DD3144">
            <w:r>
              <w:t>X</w:t>
            </w:r>
          </w:p>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2187D4F8" w:rsidR="004B2D74" w:rsidRDefault="0043769B" w:rsidP="00DD3144">
            <w:r>
              <w:t>X</w:t>
            </w:r>
          </w:p>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28C84AF6" w:rsidR="004B2D74" w:rsidRDefault="007461FE" w:rsidP="00DD3144">
            <w:r>
              <w:t>X</w:t>
            </w:r>
          </w:p>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414600" w:rsidR="004B2D74" w:rsidRDefault="0043769B" w:rsidP="00DD3144">
            <w:r>
              <w:t>X</w:t>
            </w:r>
          </w:p>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36276CDB" w:rsidR="004B2D74" w:rsidRDefault="0043769B" w:rsidP="00DD3144">
            <w:r>
              <w:t>X</w:t>
            </w:r>
          </w:p>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3D0002C8" w:rsidR="00B536E6" w:rsidRDefault="004220A4" w:rsidP="00DD3144">
            <w:r>
              <w:t>X</w:t>
            </w:r>
          </w:p>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44777C29" w:rsidR="00B536E6" w:rsidRDefault="004220A4" w:rsidP="00DD3144">
            <w:r>
              <w:t>X</w:t>
            </w:r>
          </w:p>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36E31201" w:rsidR="00B536E6" w:rsidRDefault="004220A4" w:rsidP="00DD3144">
            <w:r>
              <w:t>X</w:t>
            </w:r>
          </w:p>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4036736D" w:rsidR="00B536E6" w:rsidRDefault="004220A4" w:rsidP="00DD3144">
            <w:r>
              <w:t>X</w:t>
            </w:r>
          </w:p>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03F6E5E2" w:rsidR="00B536E6" w:rsidRDefault="004220A4" w:rsidP="00DD3144">
            <w:r>
              <w:t>X</w:t>
            </w:r>
          </w:p>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31DDB4F1" w:rsidR="00B536E6" w:rsidRDefault="004220A4" w:rsidP="00DD3144">
            <w:r>
              <w:t>X</w:t>
            </w:r>
          </w:p>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17350FA" w:rsidR="00B536E6" w:rsidRDefault="004220A4" w:rsidP="00DD3144">
            <w:r>
              <w:t>X</w:t>
            </w:r>
          </w:p>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5FF64EFA" w:rsidR="00B536E6" w:rsidRDefault="004220A4" w:rsidP="00DD3144">
            <w:r>
              <w:t>X</w:t>
            </w:r>
          </w:p>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0740A397" w:rsidR="00B536E6" w:rsidRDefault="004220A4" w:rsidP="00DD3144">
            <w:r>
              <w:t>X</w:t>
            </w:r>
          </w:p>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55D0985E" w:rsidR="00B536E6" w:rsidRDefault="004220A4" w:rsidP="00DD3144">
            <w:r>
              <w:t>X</w:t>
            </w:r>
          </w:p>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6CE4EC5E" w:rsidR="00B536E6" w:rsidRDefault="004220A4" w:rsidP="00DD3144">
            <w:r>
              <w:t>X</w:t>
            </w:r>
          </w:p>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3E72370C" w:rsidR="00B536E6" w:rsidRDefault="004220A4" w:rsidP="00DD3144">
            <w:r>
              <w:t>X</w:t>
            </w:r>
          </w:p>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3EB6AC97" w:rsidR="00B536E6" w:rsidRDefault="004220A4" w:rsidP="00DD3144">
            <w:r>
              <w:t>X</w:t>
            </w:r>
          </w:p>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0107DF8C" w:rsidR="00B536E6" w:rsidRDefault="004220A4" w:rsidP="00DD3144">
            <w:r>
              <w:t>X</w:t>
            </w:r>
          </w:p>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2617A44D" w:rsidR="00B536E6" w:rsidRDefault="004220A4" w:rsidP="00DD3144">
            <w:r>
              <w:t>X</w:t>
            </w:r>
          </w:p>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7406D86A" w:rsidR="00B536E6" w:rsidRDefault="004220A4" w:rsidP="00DD3144">
            <w:r>
              <w:t>X</w:t>
            </w:r>
          </w:p>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45A959EC" w:rsidR="00B536E6" w:rsidRDefault="004220A4" w:rsidP="00DD3144">
            <w:r>
              <w:t>X</w:t>
            </w:r>
          </w:p>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0CEB9B43" w:rsidR="00B536E6" w:rsidRDefault="004220A4" w:rsidP="00DD3144">
            <w:r>
              <w:t>X</w:t>
            </w:r>
          </w:p>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45B01BBA" w:rsidR="00B536E6" w:rsidRDefault="004220A4" w:rsidP="00DD3144">
            <w:r>
              <w:t>X</w:t>
            </w:r>
          </w:p>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02485DD" w:rsidR="00B536E6" w:rsidRDefault="004220A4" w:rsidP="00DD3144">
            <w:r>
              <w:t>X</w:t>
            </w:r>
          </w:p>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64303A36" w:rsidR="00B536E6" w:rsidRDefault="004220A4" w:rsidP="00DD3144">
            <w:r>
              <w:t>X</w:t>
            </w:r>
          </w:p>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29361C09" w:rsidR="00B536E6" w:rsidRDefault="004220A4" w:rsidP="00DD3144">
            <w:r>
              <w:t>X</w:t>
            </w:r>
          </w:p>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4CF55DAE" w14:textId="0252E546" w:rsidR="00C040DD" w:rsidRDefault="00C040DD" w:rsidP="00C040DD">
            <w:r>
              <w:t>The four Delegated Regulations target entities based on their role as regulated financial market participants, not their size, ownership (e.g. state-owned) or legal form. Thus:</w:t>
            </w:r>
          </w:p>
          <w:p w14:paraId="331D7480" w14:textId="3BCE5185" w:rsidR="00C040DD" w:rsidRDefault="00C040DD" w:rsidP="00C040DD">
            <w:r>
              <w:t>- Publicly-traded entities and private companies are only in scope if they act in a regulated capacity (e.g. as AIFMs, investment firms, insurance undertakings or distributors).</w:t>
            </w:r>
          </w:p>
          <w:p w14:paraId="40B8AD47" w14:textId="77777777" w:rsidR="0039223F" w:rsidRDefault="00EB5E36" w:rsidP="00C040DD">
            <w:r>
              <w:lastRenderedPageBreak/>
              <w:t xml:space="preserve">- </w:t>
            </w:r>
            <w:r w:rsidR="00C040DD">
              <w:t>State-owned companies are similarly included only if they operate under a relevant EU financial services directive (Solvency II, MiFID II, IDD or AIFMD).</w:t>
            </w:r>
          </w:p>
          <w:p w14:paraId="0A8CB6F3" w14:textId="77777777" w:rsidR="00EB5E36" w:rsidRDefault="00EB5E36" w:rsidP="00C040DD"/>
          <w:p w14:paraId="020308A1" w14:textId="465BBBA6" w:rsidR="00EB5E36" w:rsidRDefault="00EB5E36" w:rsidP="00EB67CC">
            <w:r w:rsidRPr="00EB5E36">
              <w:t>Each type of regulated entity is subject to a distinct set of obligations, despite a shared ESG policy objective</w:t>
            </w:r>
            <w:r w:rsidR="00EB67CC">
              <w:t>. There is no harmonised disclosure template across these regimes. The relevance of climate-related disclosure varies depending on whether the entity provides investment advice; whether it engages in portfolio management; whether it is subject to SFDR obligations via cross-reference.</w:t>
            </w:r>
          </w:p>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lastRenderedPageBreak/>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6840C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6C17477F" w:rsidR="00524D54" w:rsidRPr="003577A4" w:rsidRDefault="00524D54" w:rsidP="00454392"/>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4C37F95" w:rsidR="00576ED8" w:rsidRDefault="0090253B"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lastRenderedPageBreak/>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637BEA9F" w:rsidR="00911F20" w:rsidRDefault="00AE44D3" w:rsidP="00DD3144">
            <w:r>
              <w:t>X</w:t>
            </w:r>
          </w:p>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3B4EE22F" w14:textId="77777777" w:rsidR="009C4798" w:rsidRDefault="001B208F" w:rsidP="00DD3144">
            <w:r w:rsidRPr="001B208F">
              <w:t>These regulations are Level 2 implementing acts under EU law. They prescribe technical rules to implement Level 1 Directives (Solvency II, MiFID II, AIFMD, IDD), but they do not create their own enforcement mechanisms or penalties.</w:t>
            </w:r>
          </w:p>
          <w:p w14:paraId="6475235A" w14:textId="50F77CF8" w:rsidR="001B208F" w:rsidRDefault="001B208F" w:rsidP="00DD3144">
            <w:r w:rsidRPr="001B208F">
              <w:t>Sanctions and supervisory enforcement are governed by the Level 1 Directives and by national transposition laws of EU Member States.</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lastRenderedPageBreak/>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27141E94" w:rsidR="00CB1649" w:rsidRPr="00FA0CF8" w:rsidRDefault="00EB205D" w:rsidP="00DD3144">
            <w:pPr>
              <w:spacing w:line="276" w:lineRule="auto"/>
              <w:rPr>
                <w:color w:val="000000" w:themeColor="text1"/>
              </w:rPr>
            </w:pPr>
            <w:r>
              <w:rPr>
                <w:color w:val="000000" w:themeColor="text1"/>
              </w:rPr>
              <w:t>X</w:t>
            </w: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6CABDBCE" w14:textId="77777777" w:rsidR="00BE0825" w:rsidRDefault="00F143A1" w:rsidP="00F143A1">
            <w:pPr>
              <w:rPr>
                <w:color w:val="000000" w:themeColor="text1"/>
              </w:rPr>
            </w:pPr>
            <w:r>
              <w:rPr>
                <w:color w:val="000000" w:themeColor="text1"/>
              </w:rPr>
              <w:t xml:space="preserve">Initial disclaimer: </w:t>
            </w:r>
            <w:r w:rsidRPr="00F143A1">
              <w:rPr>
                <w:color w:val="000000" w:themeColor="text1"/>
              </w:rPr>
              <w:t>While enforcement is carried out under the powers of the Level 1 Directives (e.g. MiFID II, AIFMD</w:t>
            </w:r>
            <w:r>
              <w:rPr>
                <w:color w:val="000000" w:themeColor="text1"/>
              </w:rPr>
              <w:t xml:space="preserve">, </w:t>
            </w:r>
            <w:r w:rsidRPr="00AA30D3">
              <w:t>IDD</w:t>
            </w:r>
            <w:r>
              <w:t xml:space="preserve"> and Solvency II</w:t>
            </w:r>
            <w:r w:rsidRPr="00F143A1">
              <w:rPr>
                <w:color w:val="000000" w:themeColor="text1"/>
              </w:rPr>
              <w:t>), the actions directly relate to obligations introduced by the Level 2 Delegated Regulations. Therefore, enforcement evidence may properly be cited to demonstrate real-world implementation of the policy tools, even if the legal authority stems from Level 1.</w:t>
            </w:r>
          </w:p>
          <w:p w14:paraId="5027D5EF" w14:textId="77777777" w:rsidR="00B158B2" w:rsidRDefault="00B158B2" w:rsidP="00F143A1">
            <w:pPr>
              <w:rPr>
                <w:color w:val="000000" w:themeColor="text1"/>
              </w:rPr>
            </w:pPr>
          </w:p>
          <w:p w14:paraId="14B00DB6" w14:textId="2A515F93" w:rsidR="000B4F1A" w:rsidRDefault="000B4F1A" w:rsidP="00F143A1">
            <w:pPr>
              <w:rPr>
                <w:color w:val="000000" w:themeColor="text1"/>
              </w:rPr>
            </w:pPr>
            <w:r>
              <w:rPr>
                <w:color w:val="000000" w:themeColor="text1"/>
              </w:rPr>
              <w:t xml:space="preserve">- </w:t>
            </w:r>
            <w:r w:rsidRPr="00F143A1">
              <w:rPr>
                <w:color w:val="000000" w:themeColor="text1"/>
              </w:rPr>
              <w:t>MiFID</w:t>
            </w:r>
            <w:r>
              <w:rPr>
                <w:color w:val="000000" w:themeColor="text1"/>
              </w:rPr>
              <w:t xml:space="preserve"> II</w:t>
            </w:r>
          </w:p>
          <w:p w14:paraId="51EB9DBA" w14:textId="65715763" w:rsidR="007E0792" w:rsidRDefault="005F1B4A" w:rsidP="00F143A1">
            <w:pPr>
              <w:rPr>
                <w:color w:val="000000" w:themeColor="text1"/>
              </w:rPr>
            </w:pPr>
            <w:r w:rsidRPr="005F1B4A">
              <w:rPr>
                <w:color w:val="000000" w:themeColor="text1"/>
              </w:rPr>
              <w:t>National Competent Authorities (NCAs), coordinated by ESMA, examined how investment firms have integrated sustainability preferences and communications into client advice and marketing. The final report identified misleading ESG claims and recommended supervisory follow-ups and sanctions where needed</w:t>
            </w:r>
            <w:r>
              <w:rPr>
                <w:color w:val="000000" w:themeColor="text1"/>
              </w:rPr>
              <w:t>.</w:t>
            </w:r>
          </w:p>
          <w:p w14:paraId="1BD0A936" w14:textId="461B8564" w:rsidR="00B35B1E" w:rsidRDefault="00B35B1E" w:rsidP="00F143A1">
            <w:pPr>
              <w:rPr>
                <w:color w:val="000000" w:themeColor="text1"/>
              </w:rPr>
            </w:pPr>
            <w:r>
              <w:rPr>
                <w:color w:val="000000" w:themeColor="text1"/>
              </w:rPr>
              <w:t xml:space="preserve">Available at: </w:t>
            </w:r>
            <w:hyperlink r:id="rId21" w:history="1">
              <w:r w:rsidR="00B158B2" w:rsidRPr="008B257C">
                <w:rPr>
                  <w:rStyle w:val="Hyperlink"/>
                </w:rPr>
                <w:t>https://web.archive.org/web/20250729110405/https://www.esma.europa.eu/sites/default/files/2024-06/ESMA36-287652198-2699_Final_Report_on_Greenwashing.pdf</w:t>
              </w:r>
            </w:hyperlink>
            <w:r w:rsidR="00B158B2">
              <w:rPr>
                <w:color w:val="000000" w:themeColor="text1"/>
              </w:rPr>
              <w:t xml:space="preserve"> </w:t>
            </w:r>
          </w:p>
          <w:p w14:paraId="7E318B10" w14:textId="77777777" w:rsidR="00B35B1E" w:rsidRDefault="00B35B1E" w:rsidP="00F143A1">
            <w:pPr>
              <w:rPr>
                <w:color w:val="000000" w:themeColor="text1"/>
              </w:rPr>
            </w:pPr>
          </w:p>
          <w:p w14:paraId="4E9C5952" w14:textId="77777777" w:rsidR="000B4F1A" w:rsidRDefault="000B4F1A" w:rsidP="00F143A1">
            <w:pPr>
              <w:rPr>
                <w:color w:val="000000" w:themeColor="text1"/>
              </w:rPr>
            </w:pPr>
            <w:r>
              <w:rPr>
                <w:color w:val="000000" w:themeColor="text1"/>
              </w:rPr>
              <w:t xml:space="preserve">- </w:t>
            </w:r>
            <w:r w:rsidRPr="00F143A1">
              <w:rPr>
                <w:color w:val="000000" w:themeColor="text1"/>
              </w:rPr>
              <w:t>AIFMD</w:t>
            </w:r>
          </w:p>
          <w:p w14:paraId="43DE98D7" w14:textId="7F921E9F" w:rsidR="000B4F1A" w:rsidRDefault="00E06BEC" w:rsidP="00F143A1">
            <w:pPr>
              <w:rPr>
                <w:color w:val="000000" w:themeColor="text1"/>
              </w:rPr>
            </w:pPr>
            <w:r w:rsidRPr="00E06BEC">
              <w:rPr>
                <w:color w:val="000000" w:themeColor="text1"/>
              </w:rPr>
              <w:t>NCAs assessed integration of sustainability risks and disclosures in line with SFDR and AIFMD requirements, identifying compliance breaches and greenwashing issues. The final ESMA report (June 2025) indicates follow-up actions are underway.</w:t>
            </w:r>
          </w:p>
          <w:p w14:paraId="00D184BF" w14:textId="0C205202" w:rsidR="00B35B1E" w:rsidRDefault="00B35B1E" w:rsidP="00B35B1E">
            <w:pPr>
              <w:rPr>
                <w:color w:val="000000" w:themeColor="text1"/>
              </w:rPr>
            </w:pPr>
            <w:r>
              <w:rPr>
                <w:color w:val="000000" w:themeColor="text1"/>
              </w:rPr>
              <w:t xml:space="preserve">Available at: </w:t>
            </w:r>
            <w:hyperlink r:id="rId22" w:history="1">
              <w:r w:rsidR="005F46EA" w:rsidRPr="008B257C">
                <w:rPr>
                  <w:rStyle w:val="Hyperlink"/>
                </w:rPr>
                <w:t>https://web.archive.org/web/20250729110534/https://www.lexology.com/library/detail.aspx?g=150cf0c6-7f2f-473c-87bf-84dbd2e52bb6</w:t>
              </w:r>
            </w:hyperlink>
            <w:r w:rsidR="005F46EA">
              <w:rPr>
                <w:color w:val="000000" w:themeColor="text1"/>
              </w:rPr>
              <w:t xml:space="preserve"> </w:t>
            </w:r>
          </w:p>
          <w:p w14:paraId="09AE0DA1" w14:textId="77777777" w:rsidR="00B35B1E" w:rsidRDefault="00B35B1E" w:rsidP="00F143A1">
            <w:pPr>
              <w:rPr>
                <w:color w:val="000000" w:themeColor="text1"/>
              </w:rPr>
            </w:pPr>
          </w:p>
          <w:p w14:paraId="5812F6FA" w14:textId="27A1FC92" w:rsidR="00C138B5" w:rsidRDefault="00C138B5" w:rsidP="00F143A1">
            <w:pPr>
              <w:rPr>
                <w:color w:val="000000" w:themeColor="text1"/>
              </w:rPr>
            </w:pPr>
            <w:r>
              <w:rPr>
                <w:color w:val="000000" w:themeColor="text1"/>
              </w:rPr>
              <w:t>- IDD</w:t>
            </w:r>
          </w:p>
          <w:p w14:paraId="522DF643" w14:textId="36D41E41" w:rsidR="00C138B5" w:rsidRDefault="00C138B5" w:rsidP="00F143A1">
            <w:pPr>
              <w:rPr>
                <w:color w:val="000000" w:themeColor="text1"/>
              </w:rPr>
            </w:pPr>
            <w:r w:rsidRPr="00C138B5">
              <w:rPr>
                <w:color w:val="000000" w:themeColor="text1"/>
              </w:rPr>
              <w:t>No public sanction directly tied to the integration of sustainability preferences by insurance intermediaries has been reported.</w:t>
            </w:r>
          </w:p>
          <w:p w14:paraId="4B0EEF63" w14:textId="77777777" w:rsidR="00C138B5" w:rsidRDefault="00C138B5" w:rsidP="00F143A1">
            <w:pPr>
              <w:rPr>
                <w:color w:val="000000" w:themeColor="text1"/>
              </w:rPr>
            </w:pPr>
          </w:p>
          <w:p w14:paraId="5D09E9E3" w14:textId="77777777" w:rsidR="000B4F1A" w:rsidRDefault="000B4F1A" w:rsidP="00F143A1">
            <w:pPr>
              <w:rPr>
                <w:color w:val="000000" w:themeColor="text1"/>
              </w:rPr>
            </w:pPr>
            <w:r>
              <w:rPr>
                <w:color w:val="000000" w:themeColor="text1"/>
              </w:rPr>
              <w:t>- Solvency II</w:t>
            </w:r>
          </w:p>
          <w:p w14:paraId="097BBCD5" w14:textId="42F0A15E" w:rsidR="000B4F1A" w:rsidRDefault="009D4C4E" w:rsidP="00F143A1">
            <w:pPr>
              <w:rPr>
                <w:color w:val="000000" w:themeColor="text1"/>
              </w:rPr>
            </w:pPr>
            <w:r w:rsidRPr="009D4C4E">
              <w:rPr>
                <w:color w:val="000000" w:themeColor="text1"/>
              </w:rPr>
              <w:t>National supervisors and EIOPA have strengthened oversight of climate and sustainability risk integration into ORSA (Own Risk Solvency Assessment) and SFCR disclosures.</w:t>
            </w:r>
          </w:p>
          <w:p w14:paraId="21FC1B7F" w14:textId="3F712296" w:rsidR="00B35B1E" w:rsidRDefault="00B35B1E" w:rsidP="00F143A1">
            <w:pPr>
              <w:rPr>
                <w:color w:val="000000" w:themeColor="text1"/>
              </w:rPr>
            </w:pPr>
            <w:r>
              <w:rPr>
                <w:color w:val="000000" w:themeColor="text1"/>
              </w:rPr>
              <w:t xml:space="preserve">Available at: </w:t>
            </w:r>
            <w:hyperlink r:id="rId23" w:history="1">
              <w:r w:rsidR="00355637" w:rsidRPr="0092312B">
                <w:rPr>
                  <w:rStyle w:val="Hyperlink"/>
                </w:rPr>
                <w:t>https://web.archive.org/web/20250729110808/https://www.skadden.com/insights/publications/2024/11/the-standard-formula-a-guide-to-solvency-ii-chapter-13</w:t>
              </w:r>
            </w:hyperlink>
            <w:r w:rsidR="00355637">
              <w:rPr>
                <w:color w:val="000000" w:themeColor="text1"/>
              </w:rPr>
              <w:t xml:space="preserve"> </w:t>
            </w: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lastRenderedPageBreak/>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2952BA5D" w:rsidR="008063B5" w:rsidRDefault="009E0876"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21C081A6"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44FBFBD9" w:rsidR="00042406" w:rsidRDefault="00514E4C" w:rsidP="00DD3144">
            <w:r>
              <w:t>X</w:t>
            </w:r>
          </w:p>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11F98668" w:rsidR="00042406" w:rsidRDefault="00514E4C" w:rsidP="00DD3144">
            <w:r>
              <w:t>X</w:t>
            </w:r>
          </w:p>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2CA5FDB4" w:rsidR="00042406" w:rsidRDefault="00514E4C" w:rsidP="00DD3144">
            <w:r>
              <w:t>X</w:t>
            </w:r>
          </w:p>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02A586" w:rsidR="00042406" w:rsidRDefault="00514E4C" w:rsidP="00DD3144">
            <w:r>
              <w:t>X</w:t>
            </w:r>
          </w:p>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3B94FC4B" w:rsidR="00042406" w:rsidRDefault="00514E4C" w:rsidP="00DD3144">
            <w:r>
              <w:t>X</w:t>
            </w:r>
          </w:p>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5D9F9167" w:rsidR="00042406" w:rsidRDefault="00514E4C" w:rsidP="00DD3144">
            <w:r>
              <w:t>X</w:t>
            </w:r>
          </w:p>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4D99F32F" w:rsidR="00042406" w:rsidRDefault="00514E4C" w:rsidP="00DD3144">
            <w:r>
              <w:t>X</w:t>
            </w:r>
          </w:p>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33C9461C" w:rsidR="00931F08" w:rsidRDefault="008D5339" w:rsidP="00DD3144">
            <w:r w:rsidRPr="008D5339">
              <w:t>Yes</w:t>
            </w:r>
            <w:r>
              <w:t>. O</w:t>
            </w:r>
            <w:r w:rsidRPr="008D5339">
              <w:t>nly entities subject to Delegated Regulation (EU) 2015/35 (i.e., insurers and reinsurers under Solvency II) are required to disclose physical climate risk. Other targeted entities under the remaining Delegated Regulations are not subject to such disclosure requirements. Therefore, the subset of entities for this duty is narrower than the general set of targeted entities, and the duty is mandatory, subject to the Solvency II thresholds for applicability.</w:t>
            </w:r>
          </w:p>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lastRenderedPageBreak/>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1EA61687" w14:textId="77777777" w:rsidR="0093025F" w:rsidRDefault="0093025F" w:rsidP="00DD3144">
            <w:r w:rsidRPr="0093025F">
              <w:t xml:space="preserve">Yes. Only entities subject to Solvency II (under Delegated Regulation (EU) 2015/35) are required to disclose climate transition risk, specifically through their SFCR. </w:t>
            </w:r>
          </w:p>
          <w:p w14:paraId="73BCC8B7" w14:textId="77777777" w:rsidR="0093025F" w:rsidRDefault="0093025F" w:rsidP="00DD3144">
            <w:r w:rsidRPr="0093025F">
              <w:t xml:space="preserve">AIFMs (under 2021/1255) are expected to integrate these risks internally, but not required to disclose them. </w:t>
            </w:r>
          </w:p>
          <w:p w14:paraId="0FA0FC71" w14:textId="64BAF7AE" w:rsidR="00931F08" w:rsidRDefault="0093025F" w:rsidP="00DD3144">
            <w:r w:rsidRPr="0093025F">
              <w:t>Investment firms (2021/1253) and insurance distributors (2021/1257) are not covered in this regard.</w:t>
            </w:r>
          </w:p>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lastRenderedPageBreak/>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lastRenderedPageBreak/>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lastRenderedPageBreak/>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lastRenderedPageBreak/>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lastRenderedPageBreak/>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D6CC294" w:rsidR="00EC42A1" w:rsidRDefault="00296498" w:rsidP="00DD3144">
            <w:r>
              <w:t>X</w:t>
            </w:r>
          </w:p>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69B5B19D" w:rsidR="00EC42A1" w:rsidRDefault="00F20E62" w:rsidP="00DD3144">
            <w:r>
              <w:t>X</w:t>
            </w:r>
          </w:p>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4EC7336A" w:rsidR="00EC42A1" w:rsidRDefault="00D82BE9" w:rsidP="00DD3144">
            <w:r>
              <w:t>X</w:t>
            </w:r>
          </w:p>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4B0C3E67" w:rsidR="00EC42A1" w:rsidRDefault="00D82BE9" w:rsidP="00DD3144">
            <w:r>
              <w:t>X</w:t>
            </w:r>
          </w:p>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2FC2C78A" w:rsidR="00EC42A1" w:rsidRDefault="00D82BE9" w:rsidP="00DD3144">
            <w:r>
              <w:t>X</w:t>
            </w:r>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lastRenderedPageBreak/>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53CF120A" w:rsidR="00484663" w:rsidRDefault="003B0004" w:rsidP="00DD3144">
            <w:r>
              <w:t>X</w:t>
            </w:r>
          </w:p>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1A052955" w:rsidR="00484663" w:rsidRDefault="00C96854" w:rsidP="00DD3144">
            <w:r>
              <w:t>X</w:t>
            </w:r>
          </w:p>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519A5BCD" w:rsidR="00484663" w:rsidRDefault="00612CD0" w:rsidP="00DD3144">
            <w:r>
              <w:t>X</w:t>
            </w:r>
          </w:p>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29C09999" w:rsidR="00484663" w:rsidRDefault="00612CD0" w:rsidP="00DD3144">
            <w:r>
              <w:t>X</w:t>
            </w:r>
          </w:p>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5CD1390E" w:rsidR="00484663" w:rsidRDefault="00612CD0" w:rsidP="00DD3144">
            <w:r>
              <w:t>X</w:t>
            </w:r>
          </w:p>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lastRenderedPageBreak/>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23CFFB16" w:rsidR="00484663" w:rsidRDefault="00D2634E" w:rsidP="00DD3144">
            <w:r>
              <w:t>X</w:t>
            </w:r>
          </w:p>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0B5A122" w:rsidR="00484663" w:rsidRDefault="00D2634E" w:rsidP="00DD3144">
            <w:r>
              <w:t>X</w:t>
            </w:r>
          </w:p>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1EF87915" w:rsidR="00484663" w:rsidRDefault="00D2634E" w:rsidP="00DD3144">
            <w:r>
              <w:t>X</w:t>
            </w:r>
          </w:p>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6F7C606A" w:rsidR="00484663" w:rsidRDefault="00D2634E" w:rsidP="00DD3144">
            <w:r>
              <w:t>X</w:t>
            </w:r>
          </w:p>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192AC53D" w:rsidR="00484663" w:rsidRDefault="00D2634E" w:rsidP="00DD3144">
            <w:r>
              <w:t>X</w:t>
            </w:r>
          </w:p>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0BDB76D0" w:rsidR="00484663" w:rsidRDefault="00D2634E" w:rsidP="00DD3144">
            <w:r>
              <w:t>X</w:t>
            </w:r>
          </w:p>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018B3571" w:rsidR="00484663" w:rsidRDefault="00D2634E" w:rsidP="00DD3144">
            <w:r>
              <w:t>X</w:t>
            </w:r>
          </w:p>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380C4B4F" w:rsidR="00484663" w:rsidRDefault="00D2634E" w:rsidP="00DD3144">
            <w:r>
              <w:t>X</w:t>
            </w:r>
          </w:p>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4AB1EBB7" w:rsidR="00484663" w:rsidRDefault="00D2634E" w:rsidP="00DD3144">
            <w:r>
              <w:t>X</w:t>
            </w:r>
          </w:p>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7DAB543F" w:rsidR="00DA416F" w:rsidRPr="00DD3144" w:rsidRDefault="005B3A6E"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30CBF6F7" w:rsidR="00DA416F" w:rsidRPr="00DD3144" w:rsidRDefault="005B3A6E"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BCE21CC" w:rsidR="00DA416F" w:rsidRPr="00DD3144" w:rsidRDefault="005B3A6E"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DF34E33" w:rsidR="00DA416F" w:rsidRPr="00DD3144" w:rsidRDefault="005B3A6E"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0A0BD21F" w:rsidR="00DA416F" w:rsidRPr="00DD3144" w:rsidRDefault="005B3A6E"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0288AFB4" w:rsidR="00DA416F" w:rsidRPr="00DD3144" w:rsidRDefault="005B3A6E"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50C947F5" w:rsidR="00DA416F" w:rsidRPr="00DD3144" w:rsidRDefault="005B3A6E"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54DA6B5B" w:rsidR="00DA416F" w:rsidRPr="00DD3144" w:rsidRDefault="005B3A6E"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5A555B5F" w:rsidR="00DA416F" w:rsidRPr="00DD3144" w:rsidRDefault="005B3A6E"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179F3922" w:rsidR="00DA416F" w:rsidRPr="00DD3144" w:rsidRDefault="005B3A6E"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525F9D39" w:rsidR="00DA416F" w:rsidRPr="00DD3144" w:rsidRDefault="005B3A6E"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391F85AC" w:rsidR="00DA416F" w:rsidRPr="00DD3144" w:rsidRDefault="005B3A6E"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0957FBE4" w:rsidR="00DA416F" w:rsidRPr="00DD3144" w:rsidRDefault="005B3A6E"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0F671C98" w:rsidR="00DA416F" w:rsidRPr="00DD3144" w:rsidRDefault="005B3A6E" w:rsidP="00DD3144">
            <w:pPr>
              <w:keepNext/>
              <w:rPr>
                <w:rFonts w:ascii="Calibri" w:hAnsi="Calibri" w:cs="Calibri"/>
              </w:rPr>
            </w:pPr>
            <w:r>
              <w:rPr>
                <w:rFonts w:ascii="Calibri" w:hAnsi="Calibri" w:cs="Calibri"/>
              </w:rP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lastRenderedPageBreak/>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6840C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6840C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6840C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5271750F" w:rsidR="00D4323A" w:rsidRPr="00CF2E7C" w:rsidRDefault="006A1CE0" w:rsidP="00CF2E7C">
            <w:pPr>
              <w:rPr>
                <w:rFonts w:ascii="Calibri" w:hAnsi="Calibri" w:cs="Calibri"/>
              </w:rPr>
            </w:pPr>
            <w:r>
              <w:rPr>
                <w:rFonts w:ascii="Calibri" w:hAnsi="Calibri" w:cs="Calibri"/>
              </w:rPr>
              <w:t>X</w:t>
            </w: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65A4A6B9" w:rsidR="00D4323A" w:rsidRPr="00CF2E7C" w:rsidRDefault="006A1CE0" w:rsidP="00CF2E7C">
            <w:pPr>
              <w:rPr>
                <w:rFonts w:ascii="Calibri" w:hAnsi="Calibri" w:cs="Calibri"/>
              </w:rPr>
            </w:pPr>
            <w:r>
              <w:rPr>
                <w:rFonts w:ascii="Calibri" w:hAnsi="Calibri" w:cs="Calibri"/>
              </w:rPr>
              <w:t>X</w:t>
            </w: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89D0515" w:rsidR="00D4323A" w:rsidRPr="00CF2E7C" w:rsidRDefault="006A1CE0" w:rsidP="00CF2E7C">
            <w:pPr>
              <w:rPr>
                <w:rFonts w:ascii="Calibri" w:hAnsi="Calibri" w:cs="Calibri"/>
              </w:rPr>
            </w:pPr>
            <w:r>
              <w:rPr>
                <w:rFonts w:ascii="Calibri" w:hAnsi="Calibri" w:cs="Calibri"/>
              </w:rPr>
              <w:t>X</w:t>
            </w: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3AD8FCD3" w:rsidR="00D4323A" w:rsidRPr="00CF2E7C" w:rsidRDefault="006A1CE0" w:rsidP="00CF2E7C">
            <w:pPr>
              <w:rPr>
                <w:rFonts w:ascii="Calibri" w:hAnsi="Calibri" w:cs="Calibri"/>
              </w:rPr>
            </w:pPr>
            <w:r>
              <w:rPr>
                <w:rFonts w:ascii="Calibri" w:hAnsi="Calibri" w:cs="Calibri"/>
              </w:rPr>
              <w:t>X</w:t>
            </w: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316810C8" w:rsidR="00D4323A" w:rsidRPr="00CF2E7C" w:rsidRDefault="006A1CE0" w:rsidP="00CF2E7C">
            <w:pPr>
              <w:rPr>
                <w:rFonts w:ascii="Calibri" w:hAnsi="Calibri" w:cs="Calibri"/>
              </w:rPr>
            </w:pPr>
            <w:r>
              <w:rPr>
                <w:rFonts w:ascii="Calibri" w:hAnsi="Calibri" w:cs="Calibri"/>
              </w:rPr>
              <w:t>X</w:t>
            </w: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0058923D" w:rsidR="00D4323A" w:rsidRPr="00CF2E7C" w:rsidRDefault="006A1CE0" w:rsidP="00CF2E7C">
            <w:pPr>
              <w:rPr>
                <w:rFonts w:ascii="Calibri" w:hAnsi="Calibri" w:cs="Calibri"/>
              </w:rPr>
            </w:pPr>
            <w:r>
              <w:rPr>
                <w:rFonts w:ascii="Calibri" w:hAnsi="Calibri" w:cs="Calibri"/>
              </w:rPr>
              <w:t>X</w:t>
            </w: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60EEEFDF" w:rsidR="00D4323A" w:rsidRPr="00CF2E7C" w:rsidRDefault="006A1CE0" w:rsidP="00CF2E7C">
            <w:pPr>
              <w:rPr>
                <w:rFonts w:ascii="Calibri" w:hAnsi="Calibri" w:cs="Calibri"/>
              </w:rPr>
            </w:pPr>
            <w:r>
              <w:rPr>
                <w:rFonts w:ascii="Calibri" w:hAnsi="Calibri" w:cs="Calibri"/>
              </w:rPr>
              <w:t>X</w:t>
            </w: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49752351" w:rsidR="00D4323A" w:rsidRPr="00CF2E7C" w:rsidRDefault="006A1CE0" w:rsidP="00CF2E7C">
            <w:pPr>
              <w:rPr>
                <w:rFonts w:ascii="Calibri" w:hAnsi="Calibri" w:cs="Calibri"/>
              </w:rPr>
            </w:pPr>
            <w:r>
              <w:rPr>
                <w:rFonts w:ascii="Calibri" w:hAnsi="Calibri" w:cs="Calibri"/>
              </w:rPr>
              <w:t>X</w:t>
            </w: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2DD8B278" w:rsidR="00D4323A" w:rsidRPr="00CF2E7C" w:rsidRDefault="006A1CE0" w:rsidP="00CF2E7C">
            <w:pPr>
              <w:rPr>
                <w:rFonts w:ascii="Calibri" w:hAnsi="Calibri" w:cs="Calibri"/>
              </w:rPr>
            </w:pPr>
            <w:r>
              <w:rPr>
                <w:rFonts w:ascii="Calibri" w:hAnsi="Calibri" w:cs="Calibri"/>
              </w:rPr>
              <w:t>X</w:t>
            </w: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6D43697A" w:rsidR="00D4323A" w:rsidRPr="00CF2E7C" w:rsidRDefault="006A1CE0" w:rsidP="00CF2E7C">
            <w:pPr>
              <w:rPr>
                <w:rFonts w:ascii="Calibri" w:hAnsi="Calibri" w:cs="Calibri"/>
              </w:rPr>
            </w:pPr>
            <w:r>
              <w:rPr>
                <w:rFonts w:ascii="Calibri" w:hAnsi="Calibri" w:cs="Calibri"/>
              </w:rPr>
              <w:t>X</w:t>
            </w: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4E325CE3" w:rsidR="00D4323A" w:rsidRPr="00CF2E7C" w:rsidRDefault="006A1CE0" w:rsidP="00CF2E7C">
            <w:pPr>
              <w:rPr>
                <w:rFonts w:ascii="Calibri" w:hAnsi="Calibri" w:cs="Calibri"/>
              </w:rPr>
            </w:pPr>
            <w:r>
              <w:rPr>
                <w:rFonts w:ascii="Calibri" w:hAnsi="Calibri" w:cs="Calibri"/>
              </w:rPr>
              <w:t>X</w:t>
            </w: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D225C22" w:rsidR="00D4323A" w:rsidRPr="00CF2E7C" w:rsidRDefault="006A1CE0" w:rsidP="00CF2E7C">
            <w:pPr>
              <w:rPr>
                <w:rFonts w:ascii="Calibri" w:hAnsi="Calibri" w:cs="Calibri"/>
              </w:rPr>
            </w:pPr>
            <w:r>
              <w:rPr>
                <w:rFonts w:ascii="Calibri" w:hAnsi="Calibri" w:cs="Calibri"/>
              </w:rPr>
              <w:t>X</w:t>
            </w: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2A35853B" w:rsidR="00D4323A" w:rsidRPr="00CF2E7C" w:rsidRDefault="006A1CE0" w:rsidP="00CF2E7C">
            <w:pPr>
              <w:rPr>
                <w:rFonts w:ascii="Calibri" w:hAnsi="Calibri" w:cs="Calibri"/>
              </w:rPr>
            </w:pPr>
            <w:r>
              <w:rPr>
                <w:rFonts w:ascii="Calibri" w:hAnsi="Calibri" w:cs="Calibri"/>
              </w:rPr>
              <w:t>X</w:t>
            </w: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559A75E7" w:rsidR="00DD292A" w:rsidRPr="00CF2E7C" w:rsidRDefault="00DF1613" w:rsidP="00CF2E7C">
            <w:pPr>
              <w:rPr>
                <w:rFonts w:ascii="Calibri" w:hAnsi="Calibri" w:cs="Calibri"/>
              </w:rPr>
            </w:pPr>
            <w:r>
              <w:rPr>
                <w:rFonts w:ascii="Calibri" w:hAnsi="Calibri" w:cs="Calibri"/>
              </w:rPr>
              <w:t>X</w:t>
            </w: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301FA97A" w:rsidR="00DD292A" w:rsidRPr="00CF2E7C" w:rsidRDefault="009E38A4" w:rsidP="00CF2E7C">
            <w:pPr>
              <w:rPr>
                <w:rFonts w:ascii="Calibri" w:hAnsi="Calibri" w:cs="Calibri"/>
              </w:rPr>
            </w:pPr>
            <w:r>
              <w:rPr>
                <w:rFonts w:ascii="Calibri" w:hAnsi="Calibri" w:cs="Calibri"/>
              </w:rPr>
              <w:t>X</w:t>
            </w: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49B572B4" w:rsidR="00DD292A" w:rsidRPr="00CF2E7C" w:rsidRDefault="009E38A4" w:rsidP="00CF2E7C">
            <w:pPr>
              <w:rPr>
                <w:rFonts w:ascii="Calibri" w:hAnsi="Calibri" w:cs="Calibri"/>
              </w:rPr>
            </w:pPr>
            <w:r>
              <w:rPr>
                <w:rFonts w:ascii="Calibri" w:hAnsi="Calibri" w:cs="Calibri"/>
              </w:rPr>
              <w:t>X</w:t>
            </w: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50FE44DF" w:rsidR="00DD292A" w:rsidRPr="00CF2E7C" w:rsidRDefault="009E38A4" w:rsidP="00CF2E7C">
            <w:pPr>
              <w:rPr>
                <w:rFonts w:ascii="Calibri" w:hAnsi="Calibri" w:cs="Calibri"/>
              </w:rPr>
            </w:pPr>
            <w:r>
              <w:rPr>
                <w:rFonts w:ascii="Calibri" w:hAnsi="Calibri" w:cs="Calibri"/>
              </w:rPr>
              <w:t>X</w:t>
            </w: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66BA600B"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17037A70" w:rsidR="00DD292A" w:rsidRPr="00CF2E7C" w:rsidRDefault="009E38A4" w:rsidP="00CF2E7C">
            <w:pPr>
              <w:rPr>
                <w:rFonts w:ascii="Calibri" w:hAnsi="Calibri" w:cs="Calibri"/>
              </w:rPr>
            </w:pPr>
            <w:r>
              <w:rPr>
                <w:rFonts w:ascii="Calibri" w:hAnsi="Calibri" w:cs="Calibri"/>
              </w:rPr>
              <w:t>X</w:t>
            </w: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B7CD880" w:rsidR="00DD292A" w:rsidRPr="00CF2E7C" w:rsidRDefault="009E38A4" w:rsidP="00CF2E7C">
            <w:pPr>
              <w:rPr>
                <w:rFonts w:ascii="Calibri" w:hAnsi="Calibri" w:cs="Calibri"/>
              </w:rPr>
            </w:pPr>
            <w:r>
              <w:rPr>
                <w:rFonts w:ascii="Calibri" w:hAnsi="Calibri" w:cs="Calibri"/>
              </w:rPr>
              <w:t>X</w:t>
            </w: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31D60F73" w:rsidR="00DD292A" w:rsidRPr="00CF2E7C" w:rsidRDefault="00D651FD" w:rsidP="00CF2E7C">
            <w:pPr>
              <w:rPr>
                <w:rFonts w:ascii="Calibri" w:hAnsi="Calibri" w:cs="Calibri"/>
              </w:rPr>
            </w:pPr>
            <w:r>
              <w:rPr>
                <w:rFonts w:ascii="Calibri" w:hAnsi="Calibri" w:cs="Calibri"/>
              </w:rPr>
              <w:t>X</w:t>
            </w: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C1B6CD1" w:rsidR="00DD292A" w:rsidRPr="00CF2E7C" w:rsidRDefault="00D651FD" w:rsidP="00CF2E7C">
            <w:pPr>
              <w:rPr>
                <w:rFonts w:ascii="Calibri" w:hAnsi="Calibri" w:cs="Calibri"/>
              </w:rPr>
            </w:pPr>
            <w:r>
              <w:rPr>
                <w:rFonts w:ascii="Calibri" w:hAnsi="Calibri" w:cs="Calibri"/>
              </w:rPr>
              <w:t>X</w:t>
            </w: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432A770D" w:rsidR="00DD292A" w:rsidRPr="00CF2E7C" w:rsidRDefault="00D651FD" w:rsidP="00CF2E7C">
            <w:pPr>
              <w:rPr>
                <w:rFonts w:ascii="Calibri" w:hAnsi="Calibri" w:cs="Calibri"/>
              </w:rPr>
            </w:pPr>
            <w:r>
              <w:rPr>
                <w:rFonts w:ascii="Calibri" w:hAnsi="Calibri" w:cs="Calibri"/>
              </w:rPr>
              <w:t>X</w:t>
            </w: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4F260191" w:rsidR="00DD292A" w:rsidRPr="00CF2E7C" w:rsidRDefault="00D651FD" w:rsidP="00CF2E7C">
            <w:pPr>
              <w:rPr>
                <w:rFonts w:ascii="Calibri" w:hAnsi="Calibri" w:cs="Calibri"/>
              </w:rPr>
            </w:pPr>
            <w:r>
              <w:rPr>
                <w:rFonts w:ascii="Calibri" w:hAnsi="Calibri" w:cs="Calibri"/>
              </w:rPr>
              <w:t>X</w:t>
            </w: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0016FB56" w:rsidR="00DD292A" w:rsidRPr="00CF2E7C" w:rsidRDefault="00D651FD" w:rsidP="00CF2E7C">
            <w:pPr>
              <w:rPr>
                <w:rFonts w:ascii="Calibri" w:hAnsi="Calibri" w:cs="Calibri"/>
              </w:rPr>
            </w:pPr>
            <w:r>
              <w:rPr>
                <w:rFonts w:ascii="Calibri" w:hAnsi="Calibri" w:cs="Calibri"/>
              </w:rPr>
              <w:t>X</w:t>
            </w: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0CB4B5B0" w:rsidR="00DD292A" w:rsidRPr="00CF2E7C" w:rsidRDefault="00D651FD" w:rsidP="00CF2E7C">
            <w:pPr>
              <w:rPr>
                <w:rFonts w:ascii="Calibri" w:hAnsi="Calibri" w:cs="Calibri"/>
              </w:rPr>
            </w:pPr>
            <w:r>
              <w:rPr>
                <w:rFonts w:ascii="Calibri" w:hAnsi="Calibri" w:cs="Calibri"/>
              </w:rPr>
              <w:t>X</w:t>
            </w: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0BAAD132" w:rsidR="00DD292A" w:rsidRPr="00CF2E7C" w:rsidRDefault="00D651FD" w:rsidP="00CF2E7C">
            <w:pPr>
              <w:rPr>
                <w:rFonts w:ascii="Calibri" w:hAnsi="Calibri" w:cs="Calibri"/>
              </w:rPr>
            </w:pPr>
            <w:r>
              <w:rPr>
                <w:rFonts w:ascii="Calibri" w:hAnsi="Calibri" w:cs="Calibri"/>
              </w:rPr>
              <w:t>X</w:t>
            </w: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33282B66" w:rsidR="00DD292A" w:rsidRPr="00CF2E7C" w:rsidRDefault="00D651FD" w:rsidP="00CF2E7C">
            <w:pPr>
              <w:rPr>
                <w:rFonts w:ascii="Calibri" w:hAnsi="Calibri" w:cs="Calibri"/>
              </w:rPr>
            </w:pPr>
            <w:r>
              <w:rPr>
                <w:rFonts w:ascii="Calibri" w:hAnsi="Calibri" w:cs="Calibri"/>
              </w:rPr>
              <w:t>X</w:t>
            </w: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2715AD3C" w:rsidR="00DD292A" w:rsidRPr="00CF2E7C" w:rsidRDefault="00D651FD" w:rsidP="00CF2E7C">
            <w:pPr>
              <w:rPr>
                <w:rFonts w:ascii="Calibri" w:hAnsi="Calibri" w:cs="Calibri"/>
              </w:rPr>
            </w:pPr>
            <w:r>
              <w:rPr>
                <w:rFonts w:ascii="Calibri" w:hAnsi="Calibri" w:cs="Calibri"/>
              </w:rPr>
              <w:t>X</w:t>
            </w: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05A39B83" w:rsidR="00DD292A" w:rsidRPr="00CF2E7C" w:rsidRDefault="00D651FD" w:rsidP="00CF2E7C">
            <w:pPr>
              <w:rPr>
                <w:rFonts w:ascii="Calibri" w:hAnsi="Calibri" w:cs="Calibri"/>
              </w:rPr>
            </w:pPr>
            <w:r>
              <w:rPr>
                <w:rFonts w:ascii="Calibri" w:hAnsi="Calibri" w:cs="Calibri"/>
              </w:rPr>
              <w:t>X</w:t>
            </w: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370765B8" w:rsidR="00DD292A" w:rsidRPr="00CF2E7C" w:rsidRDefault="00D651FD" w:rsidP="00CF2E7C">
            <w:pPr>
              <w:rPr>
                <w:rFonts w:ascii="Calibri" w:hAnsi="Calibri" w:cs="Calibri"/>
              </w:rPr>
            </w:pPr>
            <w:r>
              <w:rPr>
                <w:rFonts w:ascii="Calibri" w:hAnsi="Calibri" w:cs="Calibri"/>
              </w:rPr>
              <w:t>X</w:t>
            </w: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091935B" w:rsidR="00DD292A" w:rsidRPr="00CF2E7C" w:rsidRDefault="00D651FD" w:rsidP="00CF2E7C">
            <w:pPr>
              <w:rPr>
                <w:rFonts w:ascii="Calibri" w:hAnsi="Calibri" w:cs="Calibri"/>
              </w:rPr>
            </w:pPr>
            <w:r>
              <w:rPr>
                <w:rFonts w:ascii="Calibri" w:hAnsi="Calibri" w:cs="Calibri"/>
              </w:rPr>
              <w:t>X</w:t>
            </w: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1BCEEEB1" w:rsidR="00DD292A" w:rsidRPr="00CF2E7C" w:rsidRDefault="00D651FD" w:rsidP="00CF2E7C">
            <w:pPr>
              <w:rPr>
                <w:rFonts w:ascii="Calibri" w:hAnsi="Calibri" w:cs="Calibri"/>
              </w:rPr>
            </w:pPr>
            <w:r>
              <w:rPr>
                <w:rFonts w:ascii="Calibri" w:hAnsi="Calibri" w:cs="Calibri"/>
              </w:rPr>
              <w:t>X</w:t>
            </w: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6CA7ADAD" w:rsidR="00DD292A" w:rsidRPr="00CF2E7C" w:rsidRDefault="00D651FD" w:rsidP="00CF2E7C">
            <w:pPr>
              <w:rPr>
                <w:rFonts w:ascii="Calibri" w:hAnsi="Calibri" w:cs="Calibri"/>
              </w:rPr>
            </w:pPr>
            <w:r>
              <w:rPr>
                <w:rFonts w:ascii="Calibri" w:hAnsi="Calibri" w:cs="Calibri"/>
              </w:rPr>
              <w:t>X</w:t>
            </w: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BEBA95" w:rsidR="00DD292A" w:rsidRPr="00CF2E7C" w:rsidRDefault="00D651FD" w:rsidP="00CF2E7C">
            <w:pPr>
              <w:rPr>
                <w:rFonts w:ascii="Calibri" w:hAnsi="Calibri" w:cs="Calibri"/>
              </w:rPr>
            </w:pPr>
            <w:r>
              <w:rPr>
                <w:rFonts w:ascii="Calibri" w:hAnsi="Calibri" w:cs="Calibri"/>
              </w:rPr>
              <w:t>X</w:t>
            </w: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6B08E654" w:rsidR="00DD292A" w:rsidRPr="00CF2E7C" w:rsidRDefault="00D651FD" w:rsidP="00CF2E7C">
            <w:pPr>
              <w:rPr>
                <w:rFonts w:ascii="Calibri" w:hAnsi="Calibri" w:cs="Calibri"/>
              </w:rPr>
            </w:pPr>
            <w:r>
              <w:rPr>
                <w:rFonts w:ascii="Calibri" w:hAnsi="Calibri" w:cs="Calibri"/>
              </w:rPr>
              <w:t>X</w:t>
            </w: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4F791CA0" w:rsidR="00DD292A" w:rsidRPr="00CF2E7C" w:rsidRDefault="00D651FD" w:rsidP="00CF2E7C">
            <w:pPr>
              <w:rPr>
                <w:rFonts w:ascii="Calibri" w:hAnsi="Calibri" w:cs="Calibri"/>
              </w:rPr>
            </w:pPr>
            <w:r>
              <w:rPr>
                <w:rFonts w:ascii="Calibri" w:hAnsi="Calibri" w:cs="Calibri"/>
              </w:rPr>
              <w:t>X</w:t>
            </w: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44C068E" w:rsidR="00DD292A" w:rsidRPr="00CF2E7C" w:rsidRDefault="00D651FD" w:rsidP="00CF2E7C">
            <w:pPr>
              <w:rPr>
                <w:rFonts w:ascii="Calibri" w:hAnsi="Calibri" w:cs="Calibri"/>
              </w:rPr>
            </w:pPr>
            <w:r>
              <w:rPr>
                <w:rFonts w:ascii="Calibri" w:hAnsi="Calibri" w:cs="Calibri"/>
              </w:rPr>
              <w:t>X</w:t>
            </w: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23A46D06" w:rsidR="00DD292A" w:rsidRPr="00CF2E7C" w:rsidRDefault="00D651FD" w:rsidP="00CF2E7C">
            <w:pPr>
              <w:rPr>
                <w:rFonts w:ascii="Calibri" w:hAnsi="Calibri" w:cs="Calibri"/>
              </w:rPr>
            </w:pPr>
            <w:r>
              <w:rPr>
                <w:rFonts w:ascii="Calibri" w:hAnsi="Calibri" w:cs="Calibri"/>
              </w:rPr>
              <w:t>X</w:t>
            </w: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5F74755" w:rsidR="00DD292A" w:rsidRPr="00CF2E7C" w:rsidRDefault="00D651FD" w:rsidP="00CF2E7C">
            <w:pPr>
              <w:rPr>
                <w:rFonts w:ascii="Calibri" w:hAnsi="Calibri" w:cs="Calibri"/>
              </w:rPr>
            </w:pPr>
            <w:r>
              <w:rPr>
                <w:rFonts w:ascii="Calibri" w:hAnsi="Calibri" w:cs="Calibri"/>
              </w:rPr>
              <w:t>X</w:t>
            </w: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2A788503" w:rsidR="00DD292A" w:rsidRPr="00CF2E7C" w:rsidRDefault="00D651FD" w:rsidP="00CF2E7C">
            <w:pPr>
              <w:rPr>
                <w:rFonts w:ascii="Calibri" w:hAnsi="Calibri" w:cs="Calibri"/>
              </w:rPr>
            </w:pPr>
            <w:r>
              <w:rPr>
                <w:rFonts w:ascii="Calibri" w:hAnsi="Calibri" w:cs="Calibri"/>
              </w:rPr>
              <w:t>X</w:t>
            </w: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6C9384C0" w:rsidR="00DD292A" w:rsidRPr="00CF2E7C" w:rsidRDefault="00D651FD" w:rsidP="00CF2E7C">
            <w:pPr>
              <w:rPr>
                <w:rFonts w:ascii="Calibri" w:hAnsi="Calibri" w:cs="Calibri"/>
              </w:rPr>
            </w:pPr>
            <w:r>
              <w:rPr>
                <w:rFonts w:ascii="Calibri" w:hAnsi="Calibri" w:cs="Calibri"/>
              </w:rPr>
              <w:t>X</w:t>
            </w: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2B4363A5" w14:textId="562BC275" w:rsidR="000E7619" w:rsidRPr="000E7619" w:rsidRDefault="000E7619" w:rsidP="000E7619">
            <w:pPr>
              <w:rPr>
                <w:rFonts w:ascii="Calibri" w:hAnsi="Calibri" w:cs="Calibri"/>
              </w:rPr>
            </w:pPr>
            <w:r w:rsidRPr="000E7619">
              <w:rPr>
                <w:rFonts w:ascii="Calibri" w:hAnsi="Calibri" w:cs="Calibri"/>
              </w:rPr>
              <w:t>While the same categories of financial institutions are mandatorily targeted under both the disclosure and prudential domains of these four Delegated Regulations, the nature of the obligations varies</w:t>
            </w:r>
            <w:r w:rsidR="00C96FE9">
              <w:rPr>
                <w:rFonts w:ascii="Calibri" w:hAnsi="Calibri" w:cs="Calibri"/>
              </w:rPr>
              <w:t>.</w:t>
            </w:r>
          </w:p>
          <w:p w14:paraId="2CB228BA" w14:textId="77777777" w:rsidR="00DD292A" w:rsidRDefault="000E7619" w:rsidP="000E7619">
            <w:pPr>
              <w:rPr>
                <w:rFonts w:ascii="Calibri" w:hAnsi="Calibri" w:cs="Calibri"/>
              </w:rPr>
            </w:pPr>
            <w:r w:rsidRPr="000E7619">
              <w:rPr>
                <w:rFonts w:ascii="Calibri" w:hAnsi="Calibri" w:cs="Calibri"/>
              </w:rPr>
              <w:t>In the prudential domain, duties concern internal governance, risk management</w:t>
            </w:r>
            <w:r>
              <w:rPr>
                <w:rFonts w:ascii="Calibri" w:hAnsi="Calibri" w:cs="Calibri"/>
              </w:rPr>
              <w:t xml:space="preserve"> </w:t>
            </w:r>
            <w:r w:rsidRPr="000E7619">
              <w:rPr>
                <w:rFonts w:ascii="Calibri" w:hAnsi="Calibri" w:cs="Calibri"/>
              </w:rPr>
              <w:t>and oversight of sustainability risks, rather than disclosure.</w:t>
            </w:r>
          </w:p>
          <w:p w14:paraId="052C8C35" w14:textId="15193287" w:rsidR="00C96FE9" w:rsidRPr="00CF2E7C" w:rsidRDefault="00C96FE9" w:rsidP="000E7619">
            <w:pPr>
              <w:rPr>
                <w:rFonts w:ascii="Calibri" w:hAnsi="Calibri" w:cs="Calibri"/>
              </w:rPr>
            </w:pPr>
            <w:r w:rsidRPr="00C96FE9">
              <w:rPr>
                <w:rFonts w:ascii="Calibri" w:hAnsi="Calibri" w:cs="Calibri"/>
              </w:rPr>
              <w:t>This distinction matters particularly for investment firms, AIFMs</w:t>
            </w:r>
            <w:r>
              <w:rPr>
                <w:rFonts w:ascii="Calibri" w:hAnsi="Calibri" w:cs="Calibri"/>
              </w:rPr>
              <w:t xml:space="preserve"> </w:t>
            </w:r>
            <w:r w:rsidRPr="00C96FE9">
              <w:rPr>
                <w:rFonts w:ascii="Calibri" w:hAnsi="Calibri" w:cs="Calibri"/>
              </w:rPr>
              <w:t>and insurers, where the operational impact under prudential rules is systemic and inward-facing, while disclosure duties are external and market-facing.</w:t>
            </w: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lastRenderedPageBreak/>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6840C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6A27BBB0" w:rsidR="00DD292A" w:rsidRPr="00CF2E7C" w:rsidRDefault="00D9015E" w:rsidP="00CF2E7C">
            <w:pPr>
              <w:rPr>
                <w:rFonts w:ascii="Calibri" w:hAnsi="Calibri" w:cs="Calibri"/>
              </w:rPr>
            </w:pPr>
            <w:r>
              <w:rPr>
                <w:rFonts w:ascii="Calibri" w:hAnsi="Calibri" w:cs="Calibri"/>
              </w:rPr>
              <w:t>X</w:t>
            </w: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1A44B06F" w:rsidR="00DD3B33" w:rsidRPr="00CF2E7C" w:rsidRDefault="00403536" w:rsidP="00CF2E7C">
            <w:pPr>
              <w:rPr>
                <w:rFonts w:ascii="Calibri" w:hAnsi="Calibri" w:cs="Calibri"/>
              </w:rPr>
            </w:pPr>
            <w:r>
              <w:rPr>
                <w:rFonts w:ascii="Calibri" w:hAnsi="Calibri" w:cs="Calibri"/>
              </w:rPr>
              <w:t>X</w:t>
            </w: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lastRenderedPageBreak/>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308FBACC" w:rsidR="00DD292A" w:rsidRPr="00CF2E7C" w:rsidRDefault="00143EE8" w:rsidP="00CF2E7C">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lastRenderedPageBreak/>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33FE7361" w:rsidR="00410853" w:rsidRPr="00CF2E7C" w:rsidRDefault="00763AE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39D1ACB" w:rsidR="00410853" w:rsidRPr="00CF2E7C" w:rsidRDefault="00763AE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71345F5D" w:rsidR="00410853" w:rsidRPr="00CF2E7C" w:rsidRDefault="00012E7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60E03B24" w:rsidR="00410853" w:rsidRPr="00CF2E7C" w:rsidRDefault="00050BD4" w:rsidP="00CF2E7C">
            <w:pPr>
              <w:textAlignment w:val="baseline"/>
              <w:rPr>
                <w:rFonts w:ascii="Calibri" w:eastAsia="Times New Roman" w:hAnsi="Calibri" w:cs="Calibri"/>
                <w:kern w:val="0"/>
                <w:lang w:eastAsia="en-GB"/>
                <w14:ligatures w14:val="none"/>
              </w:rPr>
            </w:pPr>
            <w:r w:rsidRPr="00050BD4">
              <w:rPr>
                <w:rFonts w:ascii="Calibri" w:eastAsia="Times New Roman" w:hAnsi="Calibri" w:cs="Calibri"/>
                <w:kern w:val="0"/>
                <w:lang w:eastAsia="en-GB"/>
                <w14:ligatures w14:val="none"/>
              </w:rPr>
              <w:t>The policy tools aim to ensure that regulated financial entities (investment firms, AIFMs, insurance undertakings and distributors) systematically integrate environmental, social and governance (ESG) considerations</w:t>
            </w:r>
            <w:r>
              <w:rPr>
                <w:rFonts w:ascii="Calibri" w:eastAsia="Times New Roman" w:hAnsi="Calibri" w:cs="Calibri"/>
                <w:kern w:val="0"/>
                <w:lang w:eastAsia="en-GB"/>
                <w14:ligatures w14:val="none"/>
              </w:rPr>
              <w:t xml:space="preserve">, </w:t>
            </w:r>
            <w:r w:rsidRPr="00050BD4">
              <w:rPr>
                <w:rFonts w:ascii="Calibri" w:eastAsia="Times New Roman" w:hAnsi="Calibri" w:cs="Calibri"/>
                <w:kern w:val="0"/>
                <w:lang w:eastAsia="en-GB"/>
                <w14:ligatures w14:val="none"/>
              </w:rPr>
              <w:t>especially climate-related risks and sustainability preferences</w:t>
            </w:r>
            <w:r>
              <w:rPr>
                <w:rFonts w:ascii="Calibri" w:eastAsia="Times New Roman" w:hAnsi="Calibri" w:cs="Calibri"/>
                <w:kern w:val="0"/>
                <w:lang w:eastAsia="en-GB"/>
                <w14:ligatures w14:val="none"/>
              </w:rPr>
              <w:t xml:space="preserve">, </w:t>
            </w:r>
            <w:r w:rsidRPr="00050BD4">
              <w:rPr>
                <w:rFonts w:ascii="Calibri" w:eastAsia="Times New Roman" w:hAnsi="Calibri" w:cs="Calibri"/>
                <w:kern w:val="0"/>
                <w:lang w:eastAsia="en-GB"/>
                <w14:ligatures w14:val="none"/>
              </w:rPr>
              <w:t>into their internal governance, product oversight and client-facing processes.</w:t>
            </w: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11B5957F" w:rsidR="00F632FB" w:rsidRPr="00CF2E7C" w:rsidRDefault="00CA5C3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7E34EA19" w:rsidR="00F632FB" w:rsidRPr="00CF2E7C" w:rsidRDefault="00CA5C3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4F05AD6E" w:rsidR="00F632FB" w:rsidRPr="00CF2E7C" w:rsidRDefault="00CA5C3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7DB219D" w:rsidR="00F632FB" w:rsidRPr="00CF2E7C" w:rsidRDefault="00CA5C3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214E4FFC" w:rsidR="008C4722" w:rsidRPr="00CF2E7C" w:rsidRDefault="00852F3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545F3184" w:rsidR="008C4722" w:rsidRPr="00CF2E7C" w:rsidRDefault="00852F3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62FB6CEB" w:rsidR="008C4722" w:rsidRPr="00CF2E7C" w:rsidRDefault="00852F3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1D5B15F9"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12BA1D5" w14:textId="77777777" w:rsidR="008C4722" w:rsidRDefault="005A1583" w:rsidP="00CF2E7C">
            <w:pPr>
              <w:textAlignment w:val="baseline"/>
              <w:rPr>
                <w:rFonts w:ascii="Calibri" w:eastAsia="Times New Roman" w:hAnsi="Calibri" w:cs="Calibri"/>
                <w:kern w:val="0"/>
                <w:lang w:eastAsia="en-GB"/>
                <w14:ligatures w14:val="none"/>
              </w:rPr>
            </w:pPr>
            <w:r w:rsidRPr="005A1583">
              <w:rPr>
                <w:rFonts w:ascii="Calibri" w:eastAsia="Times New Roman" w:hAnsi="Calibri" w:cs="Calibri"/>
                <w:kern w:val="0"/>
                <w:lang w:eastAsia="en-GB"/>
                <w14:ligatures w14:val="none"/>
              </w:rPr>
              <w:t xml:space="preserve">The policy tools require in-scope financial entities to identify, assess and integrate climate-related financial risks (as part of broader “sustainability risks”) into their governance, risk management and product oversight frameworks. </w:t>
            </w:r>
          </w:p>
          <w:p w14:paraId="3EC4272D" w14:textId="77777777" w:rsidR="005A1583" w:rsidRDefault="005A1583" w:rsidP="00CF2E7C">
            <w:pPr>
              <w:textAlignment w:val="baseline"/>
              <w:rPr>
                <w:rFonts w:ascii="Calibri" w:eastAsia="Times New Roman" w:hAnsi="Calibri" w:cs="Calibri"/>
                <w:kern w:val="0"/>
                <w:lang w:eastAsia="en-GB"/>
                <w14:ligatures w14:val="none"/>
              </w:rPr>
            </w:pPr>
          </w:p>
          <w:p w14:paraId="6BA1C95B" w14:textId="26AE542B" w:rsidR="005A1583" w:rsidRDefault="005A1583" w:rsidP="005A1583">
            <w:pPr>
              <w:textAlignment w:val="baseline"/>
              <w:rPr>
                <w:rFonts w:ascii="Calibri" w:eastAsia="Times New Roman" w:hAnsi="Calibri" w:cs="Calibri"/>
                <w:kern w:val="0"/>
                <w:lang w:eastAsia="en-GB"/>
                <w14:ligatures w14:val="none"/>
              </w:rPr>
            </w:pPr>
            <w:r w:rsidRPr="005A1583">
              <w:rPr>
                <w:rFonts w:ascii="Calibri" w:eastAsia="Times New Roman" w:hAnsi="Calibri" w:cs="Calibri"/>
                <w:kern w:val="0"/>
                <w:lang w:eastAsia="en-GB"/>
                <w14:ligatures w14:val="none"/>
              </w:rPr>
              <w:t>Commission Delegated Regulation (EU) 2021/125</w:t>
            </w:r>
            <w:r w:rsidR="00FE6C94">
              <w:rPr>
                <w:rFonts w:ascii="Calibri" w:eastAsia="Times New Roman" w:hAnsi="Calibri" w:cs="Calibri"/>
                <w:kern w:val="0"/>
                <w:lang w:eastAsia="en-GB"/>
                <w14:ligatures w14:val="none"/>
              </w:rPr>
              <w:t>3</w:t>
            </w:r>
            <w:r w:rsidRPr="005A1583">
              <w:rPr>
                <w:rFonts w:ascii="Calibri" w:eastAsia="Times New Roman" w:hAnsi="Calibri" w:cs="Calibri"/>
                <w:kern w:val="0"/>
                <w:lang w:eastAsia="en-GB"/>
                <w14:ligatures w14:val="none"/>
              </w:rPr>
              <w:t xml:space="preserve">: </w:t>
            </w:r>
          </w:p>
          <w:p w14:paraId="076B82BB" w14:textId="3F02E920" w:rsidR="005A1583" w:rsidRDefault="00F07EC7" w:rsidP="005A1583">
            <w:pPr>
              <w:textAlignment w:val="baseline"/>
              <w:rPr>
                <w:rFonts w:ascii="Calibri" w:eastAsia="Times New Roman" w:hAnsi="Calibri" w:cs="Calibri"/>
                <w:kern w:val="0"/>
                <w:lang w:eastAsia="en-GB"/>
                <w14:ligatures w14:val="none"/>
              </w:rPr>
            </w:pPr>
            <w:r w:rsidRPr="00F07EC7">
              <w:rPr>
                <w:rFonts w:ascii="Calibri" w:eastAsia="Times New Roman" w:hAnsi="Calibri" w:cs="Calibri"/>
                <w:kern w:val="0"/>
                <w:lang w:eastAsia="en-GB"/>
                <w14:ligatures w14:val="none"/>
              </w:rPr>
              <w:t>Articles 2, 21, 23, 33, 52 and 54</w:t>
            </w:r>
            <w:r>
              <w:rPr>
                <w:rFonts w:ascii="Calibri" w:eastAsia="Times New Roman" w:hAnsi="Calibri" w:cs="Calibri"/>
                <w:kern w:val="0"/>
                <w:lang w:eastAsia="en-GB"/>
                <w14:ligatures w14:val="none"/>
              </w:rPr>
              <w:t xml:space="preserve"> r</w:t>
            </w:r>
            <w:r w:rsidRPr="00F07EC7">
              <w:rPr>
                <w:rFonts w:ascii="Calibri" w:eastAsia="Times New Roman" w:hAnsi="Calibri" w:cs="Calibri"/>
                <w:kern w:val="0"/>
                <w:lang w:eastAsia="en-GB"/>
                <w14:ligatures w14:val="none"/>
              </w:rPr>
              <w:t>equire investment firms to integrate “sustainability risks” and consider “sustainability factors” in their risk management and suitability assessments. These include ESG risks, and therefore encompass both climate transition and physical risks, even though these are not named explicitly.</w:t>
            </w:r>
          </w:p>
          <w:p w14:paraId="0D05894D" w14:textId="77777777" w:rsidR="005A1583" w:rsidRPr="005A1583" w:rsidRDefault="005A1583" w:rsidP="005A1583">
            <w:pPr>
              <w:textAlignment w:val="baseline"/>
              <w:rPr>
                <w:rFonts w:ascii="Calibri" w:eastAsia="Times New Roman" w:hAnsi="Calibri" w:cs="Calibri"/>
                <w:kern w:val="0"/>
                <w:lang w:eastAsia="en-GB"/>
                <w14:ligatures w14:val="none"/>
              </w:rPr>
            </w:pPr>
          </w:p>
          <w:p w14:paraId="38B691C8" w14:textId="5D494C10" w:rsidR="005A1583" w:rsidRDefault="005A1583" w:rsidP="005A1583">
            <w:pPr>
              <w:textAlignment w:val="baseline"/>
              <w:rPr>
                <w:rFonts w:ascii="Calibri" w:eastAsia="Times New Roman" w:hAnsi="Calibri" w:cs="Calibri"/>
                <w:kern w:val="0"/>
                <w:lang w:eastAsia="en-GB"/>
                <w14:ligatures w14:val="none"/>
              </w:rPr>
            </w:pPr>
            <w:r w:rsidRPr="005A1583">
              <w:rPr>
                <w:rFonts w:ascii="Calibri" w:eastAsia="Times New Roman" w:hAnsi="Calibri" w:cs="Calibri"/>
                <w:kern w:val="0"/>
                <w:lang w:eastAsia="en-GB"/>
                <w14:ligatures w14:val="none"/>
              </w:rPr>
              <w:t xml:space="preserve">Commission Delegated Regulation (EU) 2021/1255: </w:t>
            </w:r>
          </w:p>
          <w:p w14:paraId="3739385E" w14:textId="63584DBC" w:rsidR="005A1583" w:rsidRDefault="001E6341" w:rsidP="005A1583">
            <w:pPr>
              <w:textAlignment w:val="baseline"/>
              <w:rPr>
                <w:rFonts w:ascii="Calibri" w:eastAsia="Times New Roman" w:hAnsi="Calibri" w:cs="Calibri"/>
                <w:kern w:val="0"/>
                <w:lang w:eastAsia="en-GB"/>
                <w14:ligatures w14:val="none"/>
              </w:rPr>
            </w:pPr>
            <w:r w:rsidRPr="001E6341">
              <w:rPr>
                <w:rFonts w:ascii="Calibri" w:eastAsia="Times New Roman" w:hAnsi="Calibri" w:cs="Calibri"/>
                <w:kern w:val="0"/>
                <w:lang w:eastAsia="en-GB"/>
                <w14:ligatures w14:val="none"/>
              </w:rPr>
              <w:t>Articles 1, 18, 22, 30, 40, 57</w:t>
            </w:r>
            <w:r>
              <w:rPr>
                <w:rFonts w:ascii="Calibri" w:eastAsia="Times New Roman" w:hAnsi="Calibri" w:cs="Calibri"/>
                <w:kern w:val="0"/>
                <w:lang w:eastAsia="en-GB"/>
                <w14:ligatures w14:val="none"/>
              </w:rPr>
              <w:t xml:space="preserve"> </w:t>
            </w:r>
            <w:r w:rsidRPr="001E6341">
              <w:rPr>
                <w:rFonts w:ascii="Calibri" w:eastAsia="Times New Roman" w:hAnsi="Calibri" w:cs="Calibri"/>
                <w:kern w:val="0"/>
                <w:lang w:eastAsia="en-GB"/>
                <w14:ligatures w14:val="none"/>
              </w:rPr>
              <w:t>and 60</w:t>
            </w:r>
            <w:r w:rsidR="00D254E6" w:rsidRPr="00D254E6">
              <w:rPr>
                <w:rFonts w:ascii="Calibri" w:eastAsia="Times New Roman" w:hAnsi="Calibri" w:cs="Calibri"/>
                <w:kern w:val="0"/>
                <w:lang w:eastAsia="en-GB"/>
                <w14:ligatures w14:val="none"/>
              </w:rPr>
              <w:t xml:space="preserve"> introduc</w:t>
            </w:r>
            <w:r w:rsidR="00D254E6">
              <w:rPr>
                <w:rFonts w:ascii="Calibri" w:eastAsia="Times New Roman" w:hAnsi="Calibri" w:cs="Calibri"/>
                <w:kern w:val="0"/>
                <w:lang w:eastAsia="en-GB"/>
                <w14:ligatures w14:val="none"/>
              </w:rPr>
              <w:t>e</w:t>
            </w:r>
            <w:r w:rsidR="00D254E6" w:rsidRPr="00D254E6">
              <w:rPr>
                <w:rFonts w:ascii="Calibri" w:eastAsia="Times New Roman" w:hAnsi="Calibri" w:cs="Calibri"/>
                <w:kern w:val="0"/>
                <w:lang w:eastAsia="en-GB"/>
                <w14:ligatures w14:val="none"/>
              </w:rPr>
              <w:t xml:space="preserve"> binding requirements for AIFMs to integrate sustainability risks</w:t>
            </w:r>
            <w:r w:rsidR="002F55E2">
              <w:rPr>
                <w:rFonts w:ascii="Calibri" w:eastAsia="Times New Roman" w:hAnsi="Calibri" w:cs="Calibri"/>
                <w:kern w:val="0"/>
                <w:lang w:eastAsia="en-GB"/>
                <w14:ligatures w14:val="none"/>
              </w:rPr>
              <w:t>, covering ESG risks,</w:t>
            </w:r>
            <w:r w:rsidR="00D254E6" w:rsidRPr="00D254E6">
              <w:rPr>
                <w:rFonts w:ascii="Calibri" w:eastAsia="Times New Roman" w:hAnsi="Calibri" w:cs="Calibri"/>
                <w:kern w:val="0"/>
                <w:lang w:eastAsia="en-GB"/>
                <w14:ligatures w14:val="none"/>
              </w:rPr>
              <w:t xml:space="preserve"> and </w:t>
            </w:r>
            <w:r w:rsidR="002F55E2">
              <w:rPr>
                <w:rFonts w:ascii="Calibri" w:eastAsia="Times New Roman" w:hAnsi="Calibri" w:cs="Calibri"/>
                <w:kern w:val="0"/>
                <w:lang w:eastAsia="en-GB"/>
                <w14:ligatures w14:val="none"/>
              </w:rPr>
              <w:t xml:space="preserve">to </w:t>
            </w:r>
            <w:r w:rsidR="00D254E6" w:rsidRPr="00D254E6">
              <w:rPr>
                <w:rFonts w:ascii="Calibri" w:eastAsia="Times New Roman" w:hAnsi="Calibri" w:cs="Calibri"/>
                <w:kern w:val="0"/>
                <w:lang w:eastAsia="en-GB"/>
                <w14:ligatures w14:val="none"/>
              </w:rPr>
              <w:t>consider principal adverse impacts on sustainability factors</w:t>
            </w:r>
            <w:r w:rsidR="00D254E6">
              <w:rPr>
                <w:rFonts w:ascii="Calibri" w:eastAsia="Times New Roman" w:hAnsi="Calibri" w:cs="Calibri"/>
                <w:kern w:val="0"/>
                <w:lang w:eastAsia="en-GB"/>
                <w14:ligatures w14:val="none"/>
              </w:rPr>
              <w:t>.</w:t>
            </w:r>
          </w:p>
          <w:p w14:paraId="129A45E6" w14:textId="77777777" w:rsidR="005A1583" w:rsidRPr="005A1583" w:rsidRDefault="005A1583" w:rsidP="005A1583">
            <w:pPr>
              <w:textAlignment w:val="baseline"/>
              <w:rPr>
                <w:rFonts w:ascii="Calibri" w:eastAsia="Times New Roman" w:hAnsi="Calibri" w:cs="Calibri"/>
                <w:kern w:val="0"/>
                <w:lang w:eastAsia="en-GB"/>
                <w14:ligatures w14:val="none"/>
              </w:rPr>
            </w:pPr>
          </w:p>
          <w:p w14:paraId="4F038AE2" w14:textId="5FF7DD73" w:rsidR="005A1583" w:rsidRDefault="005A1583" w:rsidP="005A1583">
            <w:pPr>
              <w:textAlignment w:val="baseline"/>
              <w:rPr>
                <w:rFonts w:ascii="Calibri" w:eastAsia="Times New Roman" w:hAnsi="Calibri" w:cs="Calibri"/>
                <w:kern w:val="0"/>
                <w:lang w:eastAsia="en-GB"/>
                <w14:ligatures w14:val="none"/>
              </w:rPr>
            </w:pPr>
            <w:r w:rsidRPr="005A1583">
              <w:rPr>
                <w:rFonts w:ascii="Calibri" w:eastAsia="Times New Roman" w:hAnsi="Calibri" w:cs="Calibri"/>
                <w:kern w:val="0"/>
                <w:lang w:eastAsia="en-GB"/>
                <w14:ligatures w14:val="none"/>
              </w:rPr>
              <w:t xml:space="preserve">Commission Delegated Regulation (EU) 2021/1257: </w:t>
            </w:r>
          </w:p>
          <w:p w14:paraId="5205F142" w14:textId="3A91C72D" w:rsidR="005A1583" w:rsidRDefault="00FD0547" w:rsidP="005A1583">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Articles 4</w:t>
            </w:r>
            <w:r w:rsidR="003F39DD">
              <w:rPr>
                <w:rFonts w:ascii="Calibri" w:eastAsia="Times New Roman" w:hAnsi="Calibri" w:cs="Calibri"/>
                <w:kern w:val="0"/>
                <w:lang w:eastAsia="en-GB"/>
                <w14:ligatures w14:val="none"/>
              </w:rPr>
              <w:t xml:space="preserve">-8, 10 and 11 </w:t>
            </w:r>
            <w:r w:rsidR="003F39DD" w:rsidRPr="003F39DD">
              <w:rPr>
                <w:rFonts w:ascii="Calibri" w:eastAsia="Times New Roman" w:hAnsi="Calibri" w:cs="Calibri"/>
                <w:kern w:val="0"/>
                <w:lang w:eastAsia="en-GB"/>
                <w14:ligatures w14:val="none"/>
              </w:rPr>
              <w:t xml:space="preserve">require insurance undertakings and distributors to integrate “sustainability risks” and “sustainability preferences” in product governance and advisory processes. This includes </w:t>
            </w:r>
            <w:r w:rsidR="003F39DD">
              <w:rPr>
                <w:rFonts w:ascii="Calibri" w:eastAsia="Times New Roman" w:hAnsi="Calibri" w:cs="Calibri"/>
                <w:kern w:val="0"/>
                <w:lang w:eastAsia="en-GB"/>
                <w14:ligatures w14:val="none"/>
              </w:rPr>
              <w:t>ESG</w:t>
            </w:r>
            <w:r w:rsidR="003F39DD" w:rsidRPr="003F39DD">
              <w:rPr>
                <w:rFonts w:ascii="Calibri" w:eastAsia="Times New Roman" w:hAnsi="Calibri" w:cs="Calibri"/>
                <w:kern w:val="0"/>
                <w:lang w:eastAsia="en-GB"/>
                <w14:ligatures w14:val="none"/>
              </w:rPr>
              <w:t xml:space="preserve"> risks and preferences, thereby covering both climate transition and physical risks, even if not expressly named.</w:t>
            </w:r>
          </w:p>
          <w:p w14:paraId="7AA8E247" w14:textId="77777777" w:rsidR="005A1583" w:rsidRPr="005A1583" w:rsidRDefault="005A1583" w:rsidP="005A1583">
            <w:pPr>
              <w:textAlignment w:val="baseline"/>
              <w:rPr>
                <w:rFonts w:ascii="Calibri" w:eastAsia="Times New Roman" w:hAnsi="Calibri" w:cs="Calibri"/>
                <w:kern w:val="0"/>
                <w:lang w:eastAsia="en-GB"/>
                <w14:ligatures w14:val="none"/>
              </w:rPr>
            </w:pPr>
          </w:p>
          <w:p w14:paraId="6D97E8A0" w14:textId="77777777" w:rsidR="005A1583" w:rsidRDefault="005A1583" w:rsidP="005A1583">
            <w:pPr>
              <w:textAlignment w:val="baseline"/>
              <w:rPr>
                <w:rFonts w:ascii="Calibri" w:eastAsia="Times New Roman" w:hAnsi="Calibri" w:cs="Calibri"/>
                <w:kern w:val="0"/>
                <w:lang w:eastAsia="en-GB"/>
                <w14:ligatures w14:val="none"/>
              </w:rPr>
            </w:pPr>
            <w:r w:rsidRPr="005A1583">
              <w:rPr>
                <w:rFonts w:ascii="Calibri" w:eastAsia="Times New Roman" w:hAnsi="Calibri" w:cs="Calibri"/>
                <w:kern w:val="0"/>
                <w:lang w:eastAsia="en-GB"/>
                <w14:ligatures w14:val="none"/>
              </w:rPr>
              <w:t xml:space="preserve">Commission Delegated Regulation (EU) 2015/35: </w:t>
            </w:r>
          </w:p>
          <w:p w14:paraId="39FC6AFA" w14:textId="2C817CE1" w:rsidR="005A1583" w:rsidRPr="00CF2E7C" w:rsidRDefault="00861083" w:rsidP="005A1583">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Articles 1(55c) and 262(1)(a)</w:t>
            </w:r>
            <w:r>
              <w:rPr>
                <w:rFonts w:ascii="Calibri" w:eastAsia="Times New Roman" w:hAnsi="Calibri" w:cs="Calibri"/>
                <w:kern w:val="0"/>
                <w:lang w:eastAsia="en-GB"/>
                <w14:ligatures w14:val="none"/>
              </w:rPr>
              <w:t xml:space="preserve"> address</w:t>
            </w:r>
            <w:r w:rsidR="00FB2DB3" w:rsidRPr="00FB2DB3">
              <w:rPr>
                <w:rFonts w:ascii="Calibri" w:eastAsia="Times New Roman" w:hAnsi="Calibri" w:cs="Calibri"/>
                <w:kern w:val="0"/>
                <w:lang w:eastAsia="en-GB"/>
                <w14:ligatures w14:val="none"/>
              </w:rPr>
              <w:t xml:space="preserve"> climate transition risks, ESG risks, and to a certain extent climate physical and nature-related risks through general sustainability risk concepts and scenario analysis.</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714EB2A5" w:rsidR="008C4722" w:rsidRPr="00CF2E7C" w:rsidRDefault="0023138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5E50C07F" w:rsidR="007B7DEE" w:rsidRPr="00CF2E7C" w:rsidRDefault="00DE5AC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F88B22E" w14:textId="31723519" w:rsidR="007B7DEE" w:rsidRDefault="004F6A9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w:t>
            </w:r>
            <w:r w:rsidRPr="004F6A96">
              <w:rPr>
                <w:rFonts w:ascii="Calibri" w:eastAsia="Times New Roman" w:hAnsi="Calibri" w:cs="Calibri"/>
                <w:kern w:val="0"/>
                <w:lang w:eastAsia="en-GB"/>
                <w14:ligatures w14:val="none"/>
              </w:rPr>
              <w:t>he policy tools use the EU Taxonomy Regulation (Regulation (EU) 2020/852) and the SFDR (Regulation (EU) 2019/2088) to classify financial instruments in relation to clients’ sustainability preferences</w:t>
            </w:r>
            <w:r w:rsidR="00E72891">
              <w:rPr>
                <w:rFonts w:ascii="Calibri" w:eastAsia="Times New Roman" w:hAnsi="Calibri" w:cs="Calibri"/>
                <w:kern w:val="0"/>
                <w:lang w:eastAsia="en-GB"/>
                <w14:ligatures w14:val="none"/>
              </w:rPr>
              <w:t xml:space="preserve"> – </w:t>
            </w:r>
            <w:r w:rsidR="00E72891" w:rsidRPr="00E72891">
              <w:rPr>
                <w:rFonts w:ascii="Calibri" w:eastAsia="Times New Roman" w:hAnsi="Calibri" w:cs="Calibri"/>
                <w:kern w:val="0"/>
                <w:lang w:eastAsia="en-GB"/>
                <w14:ligatures w14:val="none"/>
              </w:rPr>
              <w:t>Article 2(7)(a) of Regulation (EU) 2021/1253 (amending MiFID II Delegated Regulation)</w:t>
            </w:r>
            <w:r w:rsidR="00E72891">
              <w:rPr>
                <w:rFonts w:ascii="Calibri" w:eastAsia="Times New Roman" w:hAnsi="Calibri" w:cs="Calibri"/>
                <w:kern w:val="0"/>
                <w:lang w:eastAsia="en-GB"/>
                <w14:ligatures w14:val="none"/>
              </w:rPr>
              <w:t xml:space="preserve"> and </w:t>
            </w:r>
            <w:r w:rsidR="0006538C" w:rsidRPr="0006538C">
              <w:rPr>
                <w:rFonts w:ascii="Calibri" w:eastAsia="Times New Roman" w:hAnsi="Calibri" w:cs="Calibri"/>
                <w:kern w:val="0"/>
                <w:lang w:eastAsia="en-GB"/>
                <w14:ligatures w14:val="none"/>
              </w:rPr>
              <w:t>Article 2(4)(a) of Regulation (EU) 2021/1257 (amending IDD Delegated Regulation)</w:t>
            </w:r>
            <w:r w:rsidR="0006538C">
              <w:rPr>
                <w:rFonts w:ascii="Calibri" w:eastAsia="Times New Roman" w:hAnsi="Calibri" w:cs="Calibri"/>
                <w:kern w:val="0"/>
                <w:lang w:eastAsia="en-GB"/>
                <w14:ligatures w14:val="none"/>
              </w:rPr>
              <w:t>.</w:t>
            </w:r>
          </w:p>
          <w:p w14:paraId="42397B76" w14:textId="3C26D426" w:rsidR="004F6A96" w:rsidRPr="00CF2E7C" w:rsidRDefault="004F6A96" w:rsidP="00CF2E7C">
            <w:pPr>
              <w:textAlignment w:val="baseline"/>
              <w:rPr>
                <w:rFonts w:ascii="Calibri" w:eastAsia="Times New Roman" w:hAnsi="Calibri" w:cs="Calibri"/>
                <w:kern w:val="0"/>
                <w:lang w:eastAsia="en-GB"/>
                <w14:ligatures w14:val="none"/>
              </w:rPr>
            </w:pPr>
            <w:r w:rsidRPr="004F6A96">
              <w:rPr>
                <w:rFonts w:ascii="Calibri" w:eastAsia="Times New Roman" w:hAnsi="Calibri" w:cs="Calibri"/>
                <w:kern w:val="0"/>
                <w:lang w:eastAsia="en-GB"/>
                <w14:ligatures w14:val="none"/>
              </w:rPr>
              <w:t>These provisions are used not to calculate GAR or set preferential lending terms, but rather to align investment advice, product governance and suitability assessments with clients’ taxonomy-based sustainability preferences.</w:t>
            </w: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0749C1A7" w:rsidR="00ED7E12" w:rsidRPr="00CF2E7C" w:rsidRDefault="0027164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6D64598" w14:textId="75DAB309" w:rsidR="00ED7E12" w:rsidRDefault="000C2DE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C</w:t>
            </w:r>
            <w:r w:rsidRPr="000C2DE2">
              <w:rPr>
                <w:rFonts w:ascii="Calibri" w:eastAsia="Times New Roman" w:hAnsi="Calibri" w:cs="Calibri"/>
                <w:kern w:val="0"/>
                <w:lang w:eastAsia="en-GB"/>
                <w14:ligatures w14:val="none"/>
              </w:rPr>
              <w:t>ompliance is subject to supervisory oversight under existing sectoral frameworks (Solvency II, MiFID II, AIFMD, IDD)</w:t>
            </w:r>
            <w:r w:rsidR="00FE17CC">
              <w:rPr>
                <w:rFonts w:ascii="Calibri" w:eastAsia="Times New Roman" w:hAnsi="Calibri" w:cs="Calibri"/>
                <w:kern w:val="0"/>
                <w:lang w:eastAsia="en-GB"/>
                <w14:ligatures w14:val="none"/>
              </w:rPr>
              <w:t>.</w:t>
            </w:r>
          </w:p>
          <w:p w14:paraId="374BA9C0" w14:textId="3E10E9FD" w:rsidR="00FE17CC" w:rsidRPr="00FE17CC" w:rsidRDefault="00FE17CC" w:rsidP="00FE17C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lastRenderedPageBreak/>
              <w:t xml:space="preserve">- </w:t>
            </w:r>
            <w:r w:rsidRPr="00FE17CC">
              <w:rPr>
                <w:rFonts w:ascii="Calibri" w:eastAsia="Times New Roman" w:hAnsi="Calibri" w:cs="Calibri"/>
                <w:kern w:val="0"/>
                <w:lang w:eastAsia="en-GB"/>
                <w14:ligatures w14:val="none"/>
              </w:rPr>
              <w:t>Regulation (EU) 2015/35 (Solvency II): Articles 41</w:t>
            </w:r>
            <w:r w:rsidR="001069A7">
              <w:rPr>
                <w:rFonts w:ascii="Calibri" w:eastAsia="Times New Roman" w:hAnsi="Calibri" w:cs="Calibri"/>
                <w:kern w:val="0"/>
                <w:lang w:eastAsia="en-GB"/>
                <w14:ligatures w14:val="none"/>
              </w:rPr>
              <w:t>-</w:t>
            </w:r>
            <w:r w:rsidRPr="00FE17CC">
              <w:rPr>
                <w:rFonts w:ascii="Calibri" w:eastAsia="Times New Roman" w:hAnsi="Calibri" w:cs="Calibri"/>
                <w:kern w:val="0"/>
                <w:lang w:eastAsia="en-GB"/>
                <w14:ligatures w14:val="none"/>
              </w:rPr>
              <w:t>50 and 262(2) require insurance undertakings to conduct an internal risk and governance assessment, which must be documented and made available to the supervisory authority.</w:t>
            </w:r>
          </w:p>
          <w:p w14:paraId="01F7FE54" w14:textId="66400E44" w:rsidR="00FE17CC" w:rsidRPr="00FE17CC" w:rsidRDefault="00FE17CC" w:rsidP="00FE17C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Pr="00FE17CC">
              <w:rPr>
                <w:rFonts w:ascii="Calibri" w:eastAsia="Times New Roman" w:hAnsi="Calibri" w:cs="Calibri"/>
                <w:kern w:val="0"/>
                <w:lang w:eastAsia="en-GB"/>
                <w14:ligatures w14:val="none"/>
              </w:rPr>
              <w:t>Regulation (EU) 2021/1255 (AIFMD): Amended Article 40(2) requires AIFMs to assess sustainability risks in risk management policies. Compliance is monitored by national competent authorities under the AIFMD framework.</w:t>
            </w:r>
          </w:p>
          <w:p w14:paraId="571064FC" w14:textId="065DDE37" w:rsidR="00FE17CC" w:rsidRPr="00FE17CC" w:rsidRDefault="00FE17CC" w:rsidP="00FE17C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Pr="00FE17CC">
              <w:rPr>
                <w:rFonts w:ascii="Calibri" w:eastAsia="Times New Roman" w:hAnsi="Calibri" w:cs="Calibri"/>
                <w:kern w:val="0"/>
                <w:lang w:eastAsia="en-GB"/>
                <w14:ligatures w14:val="none"/>
              </w:rPr>
              <w:t>Regulation (EU) 2021/1253 (MiFID II): Amended Article 21(1) and Article 54(9) require investment firms to integrate sustainability factors into their internal procedures and product suitability processes, which fall under MiFID II supervisory review.</w:t>
            </w:r>
          </w:p>
          <w:p w14:paraId="42FF8A1B" w14:textId="01537E0D" w:rsidR="000C2DE2" w:rsidRPr="00CF2E7C" w:rsidRDefault="00FE17CC" w:rsidP="00FE17C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Pr="00FE17CC">
              <w:rPr>
                <w:rFonts w:ascii="Calibri" w:eastAsia="Times New Roman" w:hAnsi="Calibri" w:cs="Calibri"/>
                <w:kern w:val="0"/>
                <w:lang w:eastAsia="en-GB"/>
                <w14:ligatures w14:val="none"/>
              </w:rPr>
              <w:t>Regulation (EU) 2021/1257 (IDD): Amended Articles 5</w:t>
            </w:r>
            <w:r w:rsidR="001069A7">
              <w:rPr>
                <w:rFonts w:ascii="Calibri" w:eastAsia="Times New Roman" w:hAnsi="Calibri" w:cs="Calibri"/>
                <w:kern w:val="0"/>
                <w:lang w:eastAsia="en-GB"/>
                <w14:ligatures w14:val="none"/>
              </w:rPr>
              <w:t>-</w:t>
            </w:r>
            <w:r w:rsidRPr="00FE17CC">
              <w:rPr>
                <w:rFonts w:ascii="Calibri" w:eastAsia="Times New Roman" w:hAnsi="Calibri" w:cs="Calibri"/>
                <w:kern w:val="0"/>
                <w:lang w:eastAsia="en-GB"/>
                <w14:ligatures w14:val="none"/>
              </w:rPr>
              <w:t>11 of Delegated Regulation (EU) 2017/2358 and Articles 2</w:t>
            </w:r>
            <w:r w:rsidR="001069A7">
              <w:rPr>
                <w:rFonts w:ascii="Calibri" w:eastAsia="Times New Roman" w:hAnsi="Calibri" w:cs="Calibri"/>
                <w:kern w:val="0"/>
                <w:lang w:eastAsia="en-GB"/>
                <w14:ligatures w14:val="none"/>
              </w:rPr>
              <w:t>-</w:t>
            </w:r>
            <w:r w:rsidRPr="00FE17CC">
              <w:rPr>
                <w:rFonts w:ascii="Calibri" w:eastAsia="Times New Roman" w:hAnsi="Calibri" w:cs="Calibri"/>
                <w:kern w:val="0"/>
                <w:lang w:eastAsia="en-GB"/>
                <w14:ligatures w14:val="none"/>
              </w:rPr>
              <w:t>14 of Delegated Regulation (EU) 2017/2359 require insurance distributors to reflect sustainability preferences in product design and advice</w:t>
            </w:r>
            <w:r w:rsidR="001069A7">
              <w:rPr>
                <w:rFonts w:ascii="Calibri" w:eastAsia="Times New Roman" w:hAnsi="Calibri" w:cs="Calibri"/>
                <w:kern w:val="0"/>
                <w:lang w:eastAsia="en-GB"/>
                <w14:ligatures w14:val="none"/>
              </w:rPr>
              <w:t>.</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12E5DDE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91865">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6F532B64" w:rsidR="00702413" w:rsidRPr="00CF2E7C" w:rsidRDefault="00B9186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 xml:space="preserve"> X</w:t>
            </w:r>
            <w:r w:rsidR="00702413" w:rsidRPr="00CF2E7C">
              <w:rPr>
                <w:rFonts w:ascii="Calibri" w:eastAsia="Times New Roman" w:hAnsi="Calibri" w:cs="Calibri"/>
                <w:kern w:val="0"/>
                <w:lang w:val="en-SG" w:eastAsia="en-GB"/>
                <w14:ligatures w14:val="none"/>
              </w:rPr>
              <w:t> </w:t>
            </w:r>
            <w:r w:rsidR="00702413"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5AE1762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91865">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43EFA03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167DB3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91865">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64B4868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91865">
              <w:rPr>
                <w:rFonts w:ascii="Calibri" w:eastAsia="Times New Roman" w:hAnsi="Calibri" w:cs="Calibri"/>
                <w:kern w:val="0"/>
                <w:lang w:eastAsia="en-GB"/>
                <w14:ligatures w14:val="none"/>
              </w:rPr>
              <w:t>X</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C9AA6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91865">
              <w:rPr>
                <w:rFonts w:ascii="Calibri" w:eastAsia="Times New Roman" w:hAnsi="Calibri" w:cs="Calibri"/>
                <w:kern w:val="0"/>
                <w:lang w:eastAsia="en-GB"/>
                <w14:ligatures w14:val="none"/>
              </w:rPr>
              <w:t>X</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53ED212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91865">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lastRenderedPageBreak/>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B599C6A" w14:textId="77777777" w:rsidR="00D1064A" w:rsidRPr="00D1064A" w:rsidRDefault="00D1064A" w:rsidP="00D1064A">
            <w:pPr>
              <w:textAlignment w:val="baseline"/>
              <w:rPr>
                <w:rFonts w:ascii="Calibri" w:eastAsia="Times New Roman" w:hAnsi="Calibri" w:cs="Calibri"/>
                <w:kern w:val="0"/>
                <w:lang w:eastAsia="en-GB"/>
                <w14:ligatures w14:val="none"/>
              </w:rPr>
            </w:pPr>
            <w:r w:rsidRPr="00D1064A">
              <w:rPr>
                <w:rFonts w:ascii="Calibri" w:eastAsia="Times New Roman" w:hAnsi="Calibri" w:cs="Calibri"/>
                <w:kern w:val="0"/>
                <w:lang w:eastAsia="en-GB"/>
                <w14:ligatures w14:val="none"/>
              </w:rPr>
              <w:t>The policy tools require regulated entities to incorporate climate-related risks into governance and risk management by:</w:t>
            </w:r>
          </w:p>
          <w:p w14:paraId="27D2655A" w14:textId="7D9BAAC1" w:rsidR="00D1064A" w:rsidRPr="00D1064A" w:rsidRDefault="00D1064A" w:rsidP="00D1064A">
            <w:pPr>
              <w:pStyle w:val="ListParagraph"/>
              <w:numPr>
                <w:ilvl w:val="0"/>
                <w:numId w:val="50"/>
              </w:numPr>
              <w:textAlignment w:val="baseline"/>
              <w:rPr>
                <w:rFonts w:ascii="Calibri" w:eastAsia="Times New Roman" w:hAnsi="Calibri" w:cs="Calibri"/>
                <w:kern w:val="0"/>
                <w:lang w:eastAsia="en-GB"/>
                <w14:ligatures w14:val="none"/>
              </w:rPr>
            </w:pPr>
            <w:r w:rsidRPr="00D1064A">
              <w:rPr>
                <w:rFonts w:ascii="Calibri" w:eastAsia="Times New Roman" w:hAnsi="Calibri" w:cs="Calibri"/>
                <w:kern w:val="0"/>
                <w:lang w:eastAsia="en-GB"/>
                <w14:ligatures w14:val="none"/>
              </w:rPr>
              <w:t>integrating client sustainability preferences into product governance and advice</w:t>
            </w:r>
            <w:r>
              <w:rPr>
                <w:rFonts w:ascii="Calibri" w:eastAsia="Times New Roman" w:hAnsi="Calibri" w:cs="Calibri"/>
                <w:kern w:val="0"/>
                <w:lang w:eastAsia="en-GB"/>
                <w14:ligatures w14:val="none"/>
              </w:rPr>
              <w:t>;</w:t>
            </w:r>
          </w:p>
          <w:p w14:paraId="4D86F52D" w14:textId="248524D0" w:rsidR="00D1064A" w:rsidRPr="00D1064A" w:rsidRDefault="00D1064A" w:rsidP="00D1064A">
            <w:pPr>
              <w:pStyle w:val="ListParagraph"/>
              <w:numPr>
                <w:ilvl w:val="0"/>
                <w:numId w:val="50"/>
              </w:numPr>
              <w:textAlignment w:val="baseline"/>
              <w:rPr>
                <w:rFonts w:ascii="Calibri" w:eastAsia="Times New Roman" w:hAnsi="Calibri" w:cs="Calibri"/>
                <w:kern w:val="0"/>
                <w:lang w:eastAsia="en-GB"/>
                <w14:ligatures w14:val="none"/>
              </w:rPr>
            </w:pPr>
            <w:r w:rsidRPr="00D1064A">
              <w:rPr>
                <w:rFonts w:ascii="Calibri" w:eastAsia="Times New Roman" w:hAnsi="Calibri" w:cs="Calibri"/>
                <w:kern w:val="0"/>
                <w:lang w:eastAsia="en-GB"/>
                <w14:ligatures w14:val="none"/>
              </w:rPr>
              <w:t>ensuring adequate internal resources and expertis</w:t>
            </w:r>
            <w:r>
              <w:rPr>
                <w:rFonts w:ascii="Calibri" w:eastAsia="Times New Roman" w:hAnsi="Calibri" w:cs="Calibri"/>
                <w:kern w:val="0"/>
                <w:lang w:eastAsia="en-GB"/>
                <w14:ligatures w14:val="none"/>
              </w:rPr>
              <w:t>e;</w:t>
            </w:r>
          </w:p>
          <w:p w14:paraId="4D78A420" w14:textId="21456E86" w:rsidR="00D1064A" w:rsidRPr="00D1064A" w:rsidRDefault="00D1064A" w:rsidP="00D1064A">
            <w:pPr>
              <w:pStyle w:val="ListParagraph"/>
              <w:numPr>
                <w:ilvl w:val="0"/>
                <w:numId w:val="50"/>
              </w:numPr>
              <w:textAlignment w:val="baseline"/>
              <w:rPr>
                <w:rFonts w:ascii="Calibri" w:eastAsia="Times New Roman" w:hAnsi="Calibri" w:cs="Calibri"/>
                <w:kern w:val="0"/>
                <w:lang w:eastAsia="en-GB"/>
                <w14:ligatures w14:val="none"/>
              </w:rPr>
            </w:pPr>
            <w:r w:rsidRPr="00D1064A">
              <w:rPr>
                <w:rFonts w:ascii="Calibri" w:eastAsia="Times New Roman" w:hAnsi="Calibri" w:cs="Calibri"/>
                <w:kern w:val="0"/>
                <w:lang w:eastAsia="en-GB"/>
                <w14:ligatures w14:val="none"/>
              </w:rPr>
              <w:t>updating risk policies to include sustainability risks</w:t>
            </w:r>
            <w:r>
              <w:rPr>
                <w:rFonts w:ascii="Calibri" w:eastAsia="Times New Roman" w:hAnsi="Calibri" w:cs="Calibri"/>
                <w:kern w:val="0"/>
                <w:lang w:eastAsia="en-GB"/>
                <w14:ligatures w14:val="none"/>
              </w:rPr>
              <w:t xml:space="preserve">; </w:t>
            </w:r>
            <w:r w:rsidRPr="00D1064A">
              <w:rPr>
                <w:rFonts w:ascii="Calibri" w:eastAsia="Times New Roman" w:hAnsi="Calibri" w:cs="Calibri"/>
                <w:kern w:val="0"/>
                <w:lang w:eastAsia="en-GB"/>
                <w14:ligatures w14:val="none"/>
              </w:rPr>
              <w:t>and</w:t>
            </w:r>
          </w:p>
          <w:p w14:paraId="27E9CD14" w14:textId="78EF896B" w:rsidR="00A80131" w:rsidRPr="00D1064A" w:rsidRDefault="00D1064A" w:rsidP="00D1064A">
            <w:pPr>
              <w:pStyle w:val="ListParagraph"/>
              <w:numPr>
                <w:ilvl w:val="0"/>
                <w:numId w:val="50"/>
              </w:numPr>
              <w:textAlignment w:val="baseline"/>
              <w:rPr>
                <w:rFonts w:ascii="Calibri" w:eastAsia="Times New Roman" w:hAnsi="Calibri" w:cs="Calibri"/>
                <w:kern w:val="0"/>
                <w:lang w:eastAsia="en-GB"/>
                <w14:ligatures w14:val="none"/>
              </w:rPr>
            </w:pPr>
            <w:r w:rsidRPr="00D1064A">
              <w:rPr>
                <w:rFonts w:ascii="Calibri" w:eastAsia="Times New Roman" w:hAnsi="Calibri" w:cs="Calibri"/>
                <w:kern w:val="0"/>
                <w:lang w:eastAsia="en-GB"/>
                <w14:ligatures w14:val="none"/>
              </w:rPr>
              <w:t>conducting forward-looking risk assessments</w:t>
            </w:r>
            <w:r>
              <w:rPr>
                <w:rFonts w:ascii="Calibri" w:eastAsia="Times New Roman" w:hAnsi="Calibri" w:cs="Calibri"/>
                <w:kern w:val="0"/>
                <w:lang w:eastAsia="en-GB"/>
                <w14:ligatures w14:val="none"/>
              </w:rPr>
              <w:t>.</w:t>
            </w: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4C46788" w:rsidR="00C82860" w:rsidRPr="00CF2E7C" w:rsidRDefault="00E422F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597D436" w14:textId="77777777" w:rsidR="00440F07" w:rsidRPr="00440F07" w:rsidRDefault="00440F07" w:rsidP="00440F07">
            <w:pPr>
              <w:textAlignment w:val="baseline"/>
              <w:rPr>
                <w:rFonts w:ascii="Calibri" w:eastAsia="Times New Roman" w:hAnsi="Calibri" w:cs="Calibri"/>
                <w:kern w:val="0"/>
                <w:lang w:eastAsia="en-GB"/>
                <w14:ligatures w14:val="none"/>
              </w:rPr>
            </w:pPr>
            <w:r w:rsidRPr="00440F07">
              <w:rPr>
                <w:rFonts w:ascii="Calibri" w:eastAsia="Times New Roman" w:hAnsi="Calibri" w:cs="Calibri"/>
                <w:kern w:val="0"/>
                <w:lang w:eastAsia="en-GB"/>
                <w14:ligatures w14:val="none"/>
              </w:rPr>
              <w:t>The policy tool requires disclosure of climate-related risk management and governance only for insurers and reinsurers, under Article 306(1)(c) of Commission Delegated Regulation (EU) 2015/35, in connection with the SFCR.</w:t>
            </w:r>
          </w:p>
          <w:p w14:paraId="4DEB14D8" w14:textId="2F6D2507" w:rsidR="00C82860" w:rsidRPr="00CF2E7C" w:rsidRDefault="00440F07" w:rsidP="00440F07">
            <w:pPr>
              <w:textAlignment w:val="baseline"/>
              <w:rPr>
                <w:rFonts w:ascii="Calibri" w:eastAsia="Times New Roman" w:hAnsi="Calibri" w:cs="Calibri"/>
                <w:kern w:val="0"/>
                <w:lang w:eastAsia="en-GB"/>
                <w14:ligatures w14:val="none"/>
              </w:rPr>
            </w:pPr>
            <w:r w:rsidRPr="00440F07">
              <w:rPr>
                <w:rFonts w:ascii="Calibri" w:eastAsia="Times New Roman" w:hAnsi="Calibri" w:cs="Calibri"/>
                <w:kern w:val="0"/>
                <w:lang w:eastAsia="en-GB"/>
                <w14:ligatures w14:val="none"/>
              </w:rPr>
              <w:t>No equivalent public disclosure requirement is found in Delegated Regulations 2021/1253, 1255</w:t>
            </w:r>
            <w:r w:rsidR="00B3340E">
              <w:rPr>
                <w:rFonts w:ascii="Calibri" w:eastAsia="Times New Roman" w:hAnsi="Calibri" w:cs="Calibri"/>
                <w:kern w:val="0"/>
                <w:lang w:eastAsia="en-GB"/>
                <w14:ligatures w14:val="none"/>
              </w:rPr>
              <w:t xml:space="preserve"> </w:t>
            </w:r>
            <w:r w:rsidRPr="00440F07">
              <w:rPr>
                <w:rFonts w:ascii="Calibri" w:eastAsia="Times New Roman" w:hAnsi="Calibri" w:cs="Calibri"/>
                <w:kern w:val="0"/>
                <w:lang w:eastAsia="en-GB"/>
                <w14:ligatures w14:val="none"/>
              </w:rPr>
              <w:t>or 1257.</w:t>
            </w: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AD431CD" w:rsidR="00C82860" w:rsidRPr="00CF2E7C" w:rsidRDefault="00B3340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2E94BAE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51785AA" w14:textId="77777777" w:rsidR="00C35D0B" w:rsidRPr="00C35D0B" w:rsidRDefault="00C35D0B" w:rsidP="00C35D0B">
            <w:pPr>
              <w:textAlignment w:val="baseline"/>
              <w:rPr>
                <w:rFonts w:ascii="Calibri" w:eastAsia="Times New Roman" w:hAnsi="Calibri" w:cs="Calibri"/>
                <w:kern w:val="0"/>
                <w:lang w:eastAsia="en-GB"/>
                <w14:ligatures w14:val="none"/>
              </w:rPr>
            </w:pPr>
            <w:r w:rsidRPr="00C35D0B">
              <w:rPr>
                <w:rFonts w:ascii="Calibri" w:eastAsia="Times New Roman" w:hAnsi="Calibri" w:cs="Calibri"/>
                <w:kern w:val="0"/>
                <w:lang w:eastAsia="en-GB"/>
                <w14:ligatures w14:val="none"/>
              </w:rPr>
              <w:t>The policy tool requires that investment firms (under MiFID II, as amended by 2021/1253) include climate-risk assessment as part of their risk management and suitability procedures, applicable to new clients and transactions.</w:t>
            </w:r>
          </w:p>
          <w:p w14:paraId="5464A3A5" w14:textId="326FB3BC" w:rsidR="00C82860" w:rsidRPr="00CF2E7C" w:rsidRDefault="00C35D0B" w:rsidP="00C35D0B">
            <w:pPr>
              <w:textAlignment w:val="baseline"/>
              <w:rPr>
                <w:rFonts w:ascii="Calibri" w:eastAsia="Times New Roman" w:hAnsi="Calibri" w:cs="Calibri"/>
                <w:kern w:val="0"/>
                <w:lang w:eastAsia="en-GB"/>
                <w14:ligatures w14:val="none"/>
              </w:rPr>
            </w:pPr>
            <w:r w:rsidRPr="00C35D0B">
              <w:rPr>
                <w:rFonts w:ascii="Calibri" w:eastAsia="Times New Roman" w:hAnsi="Calibri" w:cs="Calibri"/>
                <w:kern w:val="0"/>
                <w:lang w:eastAsia="en-GB"/>
                <w14:ligatures w14:val="none"/>
              </w:rPr>
              <w:t>No such requirement or recommendation exists in the other three delegated regulations.</w:t>
            </w: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4897534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3358FE">
              <w:rPr>
                <w:rFonts w:ascii="Calibri" w:eastAsia="Times New Roman" w:hAnsi="Calibri" w:cs="Calibri"/>
                <w:kern w:val="0"/>
                <w:lang w:val="en-SG" w:eastAsia="en-GB"/>
                <w14:ligatures w14:val="none"/>
              </w:rPr>
              <w:t>X</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70628E60"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3358FE">
              <w:rPr>
                <w:rFonts w:ascii="Calibri" w:eastAsia="Times New Roman" w:hAnsi="Calibri" w:cs="Calibri"/>
                <w:kern w:val="0"/>
                <w:lang w:val="en-SG" w:eastAsia="en-GB"/>
                <w14:ligatures w14:val="none"/>
              </w:rPr>
              <w:t>X</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0FFCF2F0"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3358FE">
              <w:rPr>
                <w:rFonts w:ascii="Calibri" w:eastAsia="Times New Roman" w:hAnsi="Calibri" w:cs="Calibri"/>
                <w:kern w:val="0"/>
                <w:lang w:val="en-SG" w:eastAsia="en-GB"/>
                <w14:ligatures w14:val="none"/>
              </w:rPr>
              <w:t>X</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7600909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3358FE">
              <w:rPr>
                <w:rFonts w:ascii="Calibri" w:eastAsia="Times New Roman" w:hAnsi="Calibri" w:cs="Calibri"/>
                <w:kern w:val="0"/>
                <w:lang w:val="en-SG" w:eastAsia="en-GB"/>
                <w14:ligatures w14:val="none"/>
              </w:rPr>
              <w:t>X</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0EB8D66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3358FE">
              <w:rPr>
                <w:rFonts w:ascii="Calibri" w:eastAsia="Times New Roman" w:hAnsi="Calibri" w:cs="Calibri"/>
                <w:kern w:val="0"/>
                <w:lang w:val="en-SG" w:eastAsia="en-GB"/>
                <w14:ligatures w14:val="none"/>
              </w:rPr>
              <w:t>X</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5C82CA76" w:rsidR="00655FF7" w:rsidRPr="00CF2E7C" w:rsidRDefault="001140C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311A6433"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588DFB9" w:rsidR="003032A9" w:rsidRPr="00CF2E7C" w:rsidRDefault="00DF72C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5C4549BB" w:rsidR="003D5104" w:rsidRPr="00CF2E7C" w:rsidRDefault="00EA78B6" w:rsidP="00CF2E7C">
            <w:pPr>
              <w:textAlignment w:val="baseline"/>
              <w:rPr>
                <w:rFonts w:ascii="Calibri" w:eastAsia="Times New Roman" w:hAnsi="Calibri" w:cs="Calibri"/>
                <w:kern w:val="0"/>
                <w:lang w:eastAsia="en-GB"/>
                <w14:ligatures w14:val="none"/>
              </w:rPr>
            </w:pPr>
            <w:r w:rsidRPr="00EA78B6">
              <w:rPr>
                <w:rFonts w:ascii="Calibri" w:eastAsia="Times New Roman" w:hAnsi="Calibri" w:cs="Calibri"/>
                <w:kern w:val="0"/>
                <w:lang w:eastAsia="en-GB"/>
                <w14:ligatures w14:val="none"/>
              </w:rPr>
              <w:t>The prudential policy Regulation (EU) 2015/35</w:t>
            </w:r>
            <w:r w:rsidR="009D420A">
              <w:rPr>
                <w:rFonts w:ascii="Calibri" w:eastAsia="Times New Roman" w:hAnsi="Calibri" w:cs="Calibri"/>
                <w:kern w:val="0"/>
                <w:lang w:eastAsia="en-GB"/>
                <w14:ligatures w14:val="none"/>
              </w:rPr>
              <w:t xml:space="preserve"> </w:t>
            </w:r>
            <w:r w:rsidRPr="00EA78B6">
              <w:rPr>
                <w:rFonts w:ascii="Calibri" w:eastAsia="Times New Roman" w:hAnsi="Calibri" w:cs="Calibri"/>
                <w:kern w:val="0"/>
                <w:lang w:eastAsia="en-GB"/>
                <w14:ligatures w14:val="none"/>
              </w:rPr>
              <w:t>requires scenario analysis and stress testing for material ESG risks, but it does not specify the type of climate scenarios to be used.</w:t>
            </w: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36107006" w:rsidR="00BE1F9E" w:rsidRPr="00CF2E7C" w:rsidRDefault="007F252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571E7234" w:rsidR="00DC31BF" w:rsidRPr="00CF2E7C" w:rsidRDefault="0030277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3580544C" w:rsidR="0098226E" w:rsidRPr="00CF2E7C" w:rsidRDefault="00BA752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6977457D" w:rsidR="00F10A6E" w:rsidRPr="00CF2E7C" w:rsidRDefault="00BA752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2EDA2BEE" w:rsidR="00F26296" w:rsidRPr="00CF2E7C" w:rsidRDefault="00A63AF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9AC6847" w14:textId="77777777" w:rsidR="00F26296" w:rsidRDefault="002A772B" w:rsidP="00CF2E7C">
            <w:pPr>
              <w:textAlignment w:val="baseline"/>
              <w:rPr>
                <w:rFonts w:ascii="Calibri" w:eastAsia="Times New Roman" w:hAnsi="Calibri" w:cs="Calibri"/>
                <w:kern w:val="0"/>
                <w:lang w:eastAsia="en-GB"/>
                <w14:ligatures w14:val="none"/>
              </w:rPr>
            </w:pPr>
            <w:r w:rsidRPr="002A772B">
              <w:rPr>
                <w:rFonts w:ascii="Calibri" w:eastAsia="Times New Roman" w:hAnsi="Calibri" w:cs="Calibri"/>
                <w:kern w:val="0"/>
                <w:lang w:eastAsia="en-GB"/>
                <w14:ligatures w14:val="none"/>
              </w:rPr>
              <w:t>The results of the stress-testing or scenario analysis exercise are used to inform the insurance or reinsurance undertaking’s internal assessment of overall solvency needs, as part of its Own Risk and Solvency Assessment (ORSA). This obligation is set out in</w:t>
            </w:r>
            <w:r>
              <w:rPr>
                <w:rFonts w:ascii="Calibri" w:eastAsia="Times New Roman" w:hAnsi="Calibri" w:cs="Calibri"/>
                <w:kern w:val="0"/>
                <w:lang w:eastAsia="en-GB"/>
                <w14:ligatures w14:val="none"/>
              </w:rPr>
              <w:t xml:space="preserve"> Article 262(1) of </w:t>
            </w:r>
            <w:r w:rsidR="000B6341" w:rsidRPr="000B6341">
              <w:rPr>
                <w:rFonts w:ascii="Calibri" w:eastAsia="Times New Roman" w:hAnsi="Calibri" w:cs="Calibri"/>
                <w:kern w:val="0"/>
                <w:lang w:eastAsia="en-GB"/>
                <w14:ligatures w14:val="none"/>
              </w:rPr>
              <w:t>Commission Delegated Regulation (EU) 2015/35</w:t>
            </w:r>
            <w:r w:rsidR="000B6341">
              <w:rPr>
                <w:rFonts w:ascii="Calibri" w:eastAsia="Times New Roman" w:hAnsi="Calibri" w:cs="Calibri"/>
                <w:kern w:val="0"/>
                <w:lang w:eastAsia="en-GB"/>
                <w14:ligatures w14:val="none"/>
              </w:rPr>
              <w:t>.</w:t>
            </w:r>
          </w:p>
          <w:p w14:paraId="02DA5710" w14:textId="5206720B" w:rsidR="00FC3CB2" w:rsidRPr="00CF2E7C" w:rsidRDefault="00FC3CB2" w:rsidP="00CF2E7C">
            <w:pPr>
              <w:textAlignment w:val="baseline"/>
              <w:rPr>
                <w:rFonts w:ascii="Calibri" w:eastAsia="Times New Roman" w:hAnsi="Calibri" w:cs="Calibri"/>
                <w:kern w:val="0"/>
                <w:lang w:eastAsia="en-GB"/>
                <w14:ligatures w14:val="none"/>
              </w:rPr>
            </w:pPr>
            <w:r w:rsidRPr="00FC3CB2">
              <w:rPr>
                <w:rFonts w:ascii="Calibri" w:eastAsia="Times New Roman" w:hAnsi="Calibri" w:cs="Calibri"/>
                <w:kern w:val="0"/>
                <w:lang w:eastAsia="en-GB"/>
                <w14:ligatures w14:val="none"/>
              </w:rPr>
              <w:t>Although the Delegated Regulation does not explicitly mention climate-related risks or ESG factors, the reference to “potential future changes in risk profile” and “forward-looking assessment” is generally interpreted (including by EIOPA) to encompass material environmental risks</w:t>
            </w:r>
            <w:r>
              <w:rPr>
                <w:rFonts w:ascii="Calibri" w:eastAsia="Times New Roman" w:hAnsi="Calibri" w:cs="Calibri"/>
                <w:kern w:val="0"/>
                <w:lang w:eastAsia="en-GB"/>
                <w14:ligatures w14:val="none"/>
              </w:rPr>
              <w:t>,</w:t>
            </w:r>
            <w:r w:rsidRPr="00FC3CB2">
              <w:rPr>
                <w:rFonts w:ascii="Calibri" w:eastAsia="Times New Roman" w:hAnsi="Calibri" w:cs="Calibri"/>
                <w:kern w:val="0"/>
                <w:lang w:eastAsia="en-GB"/>
                <w14:ligatures w14:val="none"/>
              </w:rPr>
              <w:t xml:space="preserve"> including those arising from climate change.</w:t>
            </w: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6C64260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243B33">
              <w:rPr>
                <w:rFonts w:ascii="Calibri" w:eastAsia="Times New Roman" w:hAnsi="Calibri" w:cs="Calibri"/>
                <w:kern w:val="0"/>
                <w:lang w:eastAsia="en-GB"/>
                <w14:ligatures w14:val="none"/>
              </w:rPr>
              <w:t>X</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5914585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243B33">
              <w:rPr>
                <w:rFonts w:ascii="Calibri" w:eastAsia="Times New Roman" w:hAnsi="Calibri" w:cs="Calibri"/>
                <w:kern w:val="0"/>
                <w:lang w:eastAsia="en-GB"/>
                <w14:ligatures w14:val="none"/>
              </w:rPr>
              <w:t>X</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lastRenderedPageBreak/>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32C9948A" w14:textId="77777777" w:rsidR="00702413" w:rsidRDefault="00BA0B00" w:rsidP="00CF2E7C">
            <w:pPr>
              <w:textAlignment w:val="baseline"/>
              <w:rPr>
                <w:rFonts w:eastAsia="Times New Roman" w:cstheme="minorHAnsi"/>
                <w:kern w:val="0"/>
                <w:lang w:eastAsia="en-GB"/>
                <w14:ligatures w14:val="none"/>
              </w:rPr>
            </w:pPr>
            <w:r w:rsidRPr="00BA0B00">
              <w:rPr>
                <w:rFonts w:eastAsia="Times New Roman" w:cstheme="minorHAnsi"/>
                <w:kern w:val="0"/>
                <w:lang w:eastAsia="en-GB"/>
                <w14:ligatures w14:val="none"/>
              </w:rPr>
              <w:t>The core challenge in implementing these four prudential policy tools lies in the high-level nature of their climate-related provisions. While they embed important sustainability considerations into the regulatory architecture, their lack of operational specificity, data and skills constraints and uncertain supervisory interpretation all act as material barriers to robust and consistent implementation.</w:t>
            </w:r>
          </w:p>
          <w:p w14:paraId="1F792DD8" w14:textId="77777777" w:rsidR="005B07C0" w:rsidRDefault="005B07C0" w:rsidP="00CF2E7C">
            <w:pPr>
              <w:textAlignment w:val="baseline"/>
              <w:rPr>
                <w:rFonts w:eastAsia="Times New Roman" w:cstheme="minorHAnsi"/>
                <w:kern w:val="0"/>
                <w:lang w:eastAsia="en-GB"/>
                <w14:ligatures w14:val="none"/>
              </w:rPr>
            </w:pPr>
            <w:r w:rsidRPr="005B07C0">
              <w:rPr>
                <w:rFonts w:eastAsia="Times New Roman" w:cstheme="minorHAnsi"/>
                <w:kern w:val="0"/>
                <w:lang w:eastAsia="en-GB"/>
                <w14:ligatures w14:val="none"/>
              </w:rPr>
              <w:t xml:space="preserve">For example, Article 262 of Commission Delegated Regulation (EU) 2015/35 requires insurance and reinsurance undertakings to carry out a forward-looking assessment of overall solvency needs as part of the ORSA. However, it does not define time horizons, does not prescribe specific scenario types and does not set out climate-related risk metrics. </w:t>
            </w:r>
          </w:p>
          <w:p w14:paraId="718D87F5" w14:textId="7091ABD0" w:rsidR="00BA0B00" w:rsidRPr="009C4D10" w:rsidRDefault="005B07C0"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Entities</w:t>
            </w:r>
            <w:r w:rsidRPr="005B07C0">
              <w:rPr>
                <w:rFonts w:eastAsia="Times New Roman" w:cstheme="minorHAnsi"/>
                <w:kern w:val="0"/>
                <w:lang w:eastAsia="en-GB"/>
                <w14:ligatures w14:val="none"/>
              </w:rPr>
              <w:t xml:space="preserve"> are therefore left to design their own methodologies for identifying and assessing long-term climate risks, which leads to heterogeneous practices and regulatory fragmentation, particularly across entities with differing capacities and supervisory expectations.</w:t>
            </w: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08B0ABDB" w:rsidR="00FE0EA5" w:rsidRPr="009C4D10" w:rsidRDefault="00FE0EA5" w:rsidP="00CF2E7C">
            <w:pPr>
              <w:rPr>
                <w:rFonts w:cstheme="minorHAnsi"/>
              </w:rPr>
            </w:pPr>
            <w:r w:rsidRPr="009C4D10">
              <w:rPr>
                <w:rFonts w:cstheme="minorHAnsi"/>
                <w:lang w:val="en-SG"/>
              </w:rPr>
              <w:t> </w:t>
            </w:r>
            <w:r w:rsidRPr="009C4D10">
              <w:rPr>
                <w:rFonts w:cstheme="minorHAnsi"/>
              </w:rPr>
              <w:t> </w:t>
            </w:r>
            <w:r w:rsidR="00EB5B50">
              <w:rPr>
                <w:rFonts w:cstheme="minorHAnsi"/>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CBDB125" w:rsidR="00FE0EA5" w:rsidRPr="009C4D10" w:rsidRDefault="00FE0EA5" w:rsidP="00CF2E7C">
            <w:pPr>
              <w:rPr>
                <w:rFonts w:cstheme="minorHAnsi"/>
              </w:rPr>
            </w:pPr>
            <w:r w:rsidRPr="009C4D10">
              <w:rPr>
                <w:rFonts w:cstheme="minorHAnsi"/>
                <w:lang w:val="en-SG"/>
              </w:rPr>
              <w:t> </w:t>
            </w:r>
            <w:r w:rsidRPr="009C4D10">
              <w:rPr>
                <w:rFonts w:cstheme="minorHAnsi"/>
              </w:rPr>
              <w:t> </w:t>
            </w:r>
            <w:r w:rsidR="00EB5B50">
              <w:rPr>
                <w:rFonts w:cstheme="minorHAnsi"/>
              </w:rPr>
              <w:t>X</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4"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1441C850" w:rsidR="00FE0EA5" w:rsidRPr="009C4D10" w:rsidRDefault="00FE0EA5" w:rsidP="00CF2E7C">
            <w:pPr>
              <w:rPr>
                <w:rFonts w:cstheme="minorHAnsi"/>
              </w:rPr>
            </w:pPr>
            <w:r w:rsidRPr="009C4D10">
              <w:rPr>
                <w:rFonts w:cstheme="minorHAnsi"/>
                <w:lang w:val="en-SG"/>
              </w:rPr>
              <w:t> </w:t>
            </w:r>
            <w:r w:rsidRPr="009C4D10">
              <w:rPr>
                <w:rFonts w:cstheme="minorHAnsi"/>
              </w:rPr>
              <w:t> </w:t>
            </w:r>
            <w:r w:rsidR="00EB5B50">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5"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3AAE5FE2" w:rsidR="00FE0EA5" w:rsidRPr="009C4D10" w:rsidRDefault="00FE0EA5" w:rsidP="00CF2E7C">
            <w:pPr>
              <w:rPr>
                <w:rFonts w:cstheme="minorHAnsi"/>
              </w:rPr>
            </w:pPr>
            <w:r w:rsidRPr="009C4D10">
              <w:rPr>
                <w:rFonts w:cstheme="minorHAnsi"/>
                <w:lang w:val="en-SG"/>
              </w:rPr>
              <w:t> </w:t>
            </w:r>
            <w:r w:rsidRPr="009C4D10">
              <w:rPr>
                <w:rFonts w:cstheme="minorHAnsi"/>
              </w:rPr>
              <w:t> </w:t>
            </w:r>
            <w:r w:rsidR="00EB5B50">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4EA12B21" w:rsidR="00FE0EA5" w:rsidRPr="009C4D10" w:rsidRDefault="00FE0EA5" w:rsidP="00CF2E7C">
            <w:pPr>
              <w:rPr>
                <w:rFonts w:cstheme="minorHAnsi"/>
              </w:rPr>
            </w:pPr>
            <w:r w:rsidRPr="009C4D10">
              <w:rPr>
                <w:rFonts w:cstheme="minorHAnsi"/>
                <w:lang w:val="en-SG"/>
              </w:rPr>
              <w:t> </w:t>
            </w:r>
            <w:r w:rsidRPr="009C4D10">
              <w:rPr>
                <w:rFonts w:cstheme="minorHAnsi"/>
              </w:rPr>
              <w:t> </w:t>
            </w:r>
            <w:r w:rsidR="00EB5B50">
              <w:rPr>
                <w:rFonts w:cstheme="minorHAnsi"/>
              </w:rPr>
              <w:t>X</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18007C83" w:rsidR="00FE0EA5" w:rsidRPr="009C4D10" w:rsidRDefault="00FE0EA5" w:rsidP="00CF2E7C">
            <w:pPr>
              <w:rPr>
                <w:rFonts w:cstheme="minorHAnsi"/>
              </w:rPr>
            </w:pPr>
            <w:r w:rsidRPr="009C4D10">
              <w:rPr>
                <w:rFonts w:cstheme="minorHAnsi"/>
              </w:rPr>
              <w:t>  </w:t>
            </w:r>
            <w:r w:rsidR="00EB5B50">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65B57A2A" w:rsidR="00FE0EA5" w:rsidRPr="009C4D10" w:rsidRDefault="00FE0EA5" w:rsidP="00CF2E7C">
            <w:pPr>
              <w:rPr>
                <w:rFonts w:cstheme="minorHAnsi"/>
              </w:rPr>
            </w:pPr>
            <w:r w:rsidRPr="009C4D10">
              <w:rPr>
                <w:rFonts w:cstheme="minorHAnsi"/>
                <w:lang w:val="en-SG"/>
              </w:rPr>
              <w:t> </w:t>
            </w:r>
            <w:r w:rsidRPr="009C4D10">
              <w:rPr>
                <w:rFonts w:cstheme="minorHAnsi"/>
              </w:rPr>
              <w:t> </w:t>
            </w:r>
            <w:r w:rsidR="00EB5B50">
              <w:rPr>
                <w:rFonts w:cstheme="minorHAnsi"/>
              </w:rPr>
              <w:t>X</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lastRenderedPageBreak/>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6840C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6"/>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0540663" w14:textId="77777777" w:rsidR="005D1097" w:rsidRDefault="005D1097" w:rsidP="00874E39">
      <w:r>
        <w:separator/>
      </w:r>
    </w:p>
  </w:endnote>
  <w:endnote w:type="continuationSeparator" w:id="0">
    <w:p w14:paraId="5D34AEBB" w14:textId="77777777" w:rsidR="005D1097" w:rsidRDefault="005D1097" w:rsidP="00874E39">
      <w:r>
        <w:continuationSeparator/>
      </w:r>
    </w:p>
  </w:endnote>
  <w:endnote w:type="continuationNotice" w:id="1">
    <w:p w14:paraId="736B2200" w14:textId="77777777" w:rsidR="005D1097" w:rsidRDefault="005D109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326EACD" w14:textId="77777777" w:rsidR="005D1097" w:rsidRDefault="005D1097" w:rsidP="00874E39">
      <w:r>
        <w:separator/>
      </w:r>
    </w:p>
  </w:footnote>
  <w:footnote w:type="continuationSeparator" w:id="0">
    <w:p w14:paraId="4A30C685" w14:textId="77777777" w:rsidR="005D1097" w:rsidRDefault="005D1097" w:rsidP="00874E39">
      <w:r>
        <w:continuationSeparator/>
      </w:r>
    </w:p>
  </w:footnote>
  <w:footnote w:type="continuationNotice" w:id="1">
    <w:p w14:paraId="5294B223" w14:textId="77777777" w:rsidR="005D1097" w:rsidRDefault="005D109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88776C4"/>
    <w:multiLevelType w:val="hybridMultilevel"/>
    <w:tmpl w:val="AD1EF550"/>
    <w:lvl w:ilvl="0" w:tplc="B066B162">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1BE57CF"/>
    <w:multiLevelType w:val="hybridMultilevel"/>
    <w:tmpl w:val="AFA85E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6"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7"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8"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1"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2"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0"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1"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B0C072E"/>
    <w:multiLevelType w:val="hybridMultilevel"/>
    <w:tmpl w:val="3E06FF9C"/>
    <w:lvl w:ilvl="0" w:tplc="AE348F42">
      <w:start w:val="16"/>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6"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7"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8"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9"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0"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5"/>
  </w:num>
  <w:num w:numId="3" w16cid:durableId="690952733">
    <w:abstractNumId w:val="43"/>
  </w:num>
  <w:num w:numId="4" w16cid:durableId="1689330127">
    <w:abstractNumId w:val="1"/>
  </w:num>
  <w:num w:numId="5" w16cid:durableId="401291788">
    <w:abstractNumId w:val="30"/>
  </w:num>
  <w:num w:numId="6" w16cid:durableId="1276788690">
    <w:abstractNumId w:val="13"/>
  </w:num>
  <w:num w:numId="7" w16cid:durableId="566767730">
    <w:abstractNumId w:val="21"/>
  </w:num>
  <w:num w:numId="8" w16cid:durableId="1780710843">
    <w:abstractNumId w:val="36"/>
  </w:num>
  <w:num w:numId="9" w16cid:durableId="1685783054">
    <w:abstractNumId w:val="3"/>
  </w:num>
  <w:num w:numId="10" w16cid:durableId="950551298">
    <w:abstractNumId w:val="33"/>
  </w:num>
  <w:num w:numId="11" w16cid:durableId="1591960799">
    <w:abstractNumId w:val="50"/>
  </w:num>
  <w:num w:numId="12" w16cid:durableId="1344891410">
    <w:abstractNumId w:val="9"/>
  </w:num>
  <w:num w:numId="13" w16cid:durableId="2023899324">
    <w:abstractNumId w:val="11"/>
  </w:num>
  <w:num w:numId="14" w16cid:durableId="430587014">
    <w:abstractNumId w:val="7"/>
  </w:num>
  <w:num w:numId="15" w16cid:durableId="1742869061">
    <w:abstractNumId w:val="32"/>
  </w:num>
  <w:num w:numId="16" w16cid:durableId="1996450437">
    <w:abstractNumId w:val="20"/>
  </w:num>
  <w:num w:numId="17" w16cid:durableId="1529031027">
    <w:abstractNumId w:val="8"/>
  </w:num>
  <w:num w:numId="18" w16cid:durableId="568614617">
    <w:abstractNumId w:val="18"/>
  </w:num>
  <w:num w:numId="19" w16cid:durableId="1530605858">
    <w:abstractNumId w:val="45"/>
  </w:num>
  <w:num w:numId="20" w16cid:durableId="1328172586">
    <w:abstractNumId w:val="16"/>
  </w:num>
  <w:num w:numId="21" w16cid:durableId="184827816">
    <w:abstractNumId w:val="29"/>
  </w:num>
  <w:num w:numId="22" w16cid:durableId="1785346599">
    <w:abstractNumId w:val="35"/>
  </w:num>
  <w:num w:numId="23" w16cid:durableId="1294288901">
    <w:abstractNumId w:val="28"/>
  </w:num>
  <w:num w:numId="24" w16cid:durableId="1603957975">
    <w:abstractNumId w:val="47"/>
  </w:num>
  <w:num w:numId="25" w16cid:durableId="1659531047">
    <w:abstractNumId w:val="46"/>
  </w:num>
  <w:num w:numId="26" w16cid:durableId="752774403">
    <w:abstractNumId w:val="23"/>
  </w:num>
  <w:num w:numId="27" w16cid:durableId="347872198">
    <w:abstractNumId w:val="6"/>
  </w:num>
  <w:num w:numId="28" w16cid:durableId="537133110">
    <w:abstractNumId w:val="12"/>
  </w:num>
  <w:num w:numId="29" w16cid:durableId="1632318729">
    <w:abstractNumId w:val="48"/>
  </w:num>
  <w:num w:numId="30" w16cid:durableId="1268124074">
    <w:abstractNumId w:val="34"/>
  </w:num>
  <w:num w:numId="31" w16cid:durableId="887108748">
    <w:abstractNumId w:val="31"/>
  </w:num>
  <w:num w:numId="32" w16cid:durableId="1826125712">
    <w:abstractNumId w:val="37"/>
  </w:num>
  <w:num w:numId="33" w16cid:durableId="823357978">
    <w:abstractNumId w:val="41"/>
  </w:num>
  <w:num w:numId="34" w16cid:durableId="1092120443">
    <w:abstractNumId w:val="40"/>
  </w:num>
  <w:num w:numId="35" w16cid:durableId="124861188">
    <w:abstractNumId w:val="10"/>
  </w:num>
  <w:num w:numId="36" w16cid:durableId="1952588250">
    <w:abstractNumId w:val="39"/>
  </w:num>
  <w:num w:numId="37" w16cid:durableId="1712027211">
    <w:abstractNumId w:val="4"/>
  </w:num>
  <w:num w:numId="38" w16cid:durableId="2033795929">
    <w:abstractNumId w:val="2"/>
  </w:num>
  <w:num w:numId="39" w16cid:durableId="1238595582">
    <w:abstractNumId w:val="26"/>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5"/>
  </w:num>
  <w:num w:numId="45" w16cid:durableId="1554191892">
    <w:abstractNumId w:val="42"/>
  </w:num>
  <w:num w:numId="46" w16cid:durableId="947811845">
    <w:abstractNumId w:val="49"/>
  </w:num>
  <w:num w:numId="47" w16cid:durableId="342588554">
    <w:abstractNumId w:val="27"/>
  </w:num>
  <w:num w:numId="48" w16cid:durableId="318391343">
    <w:abstractNumId w:val="38"/>
  </w:num>
  <w:num w:numId="49" w16cid:durableId="377243264">
    <w:abstractNumId w:val="44"/>
  </w:num>
  <w:num w:numId="50" w16cid:durableId="706493985">
    <w:abstractNumId w:val="24"/>
  </w:num>
  <w:num w:numId="51" w16cid:durableId="1459185195">
    <w:abstractNumId w:val="14"/>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2E7F"/>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4"/>
    <w:rsid w:val="00050BDF"/>
    <w:rsid w:val="000526BB"/>
    <w:rsid w:val="00052CA3"/>
    <w:rsid w:val="000555DB"/>
    <w:rsid w:val="0006062B"/>
    <w:rsid w:val="000607C0"/>
    <w:rsid w:val="000609A8"/>
    <w:rsid w:val="00061CCB"/>
    <w:rsid w:val="00062223"/>
    <w:rsid w:val="00062526"/>
    <w:rsid w:val="00064195"/>
    <w:rsid w:val="00064FDB"/>
    <w:rsid w:val="0006538C"/>
    <w:rsid w:val="00065A4A"/>
    <w:rsid w:val="0006692A"/>
    <w:rsid w:val="00067899"/>
    <w:rsid w:val="00067E05"/>
    <w:rsid w:val="000702AA"/>
    <w:rsid w:val="000704DB"/>
    <w:rsid w:val="00070BAE"/>
    <w:rsid w:val="00071C1F"/>
    <w:rsid w:val="00071F6D"/>
    <w:rsid w:val="0007502A"/>
    <w:rsid w:val="00075B10"/>
    <w:rsid w:val="000779A3"/>
    <w:rsid w:val="0008098E"/>
    <w:rsid w:val="00080D39"/>
    <w:rsid w:val="00083507"/>
    <w:rsid w:val="000844F5"/>
    <w:rsid w:val="00084827"/>
    <w:rsid w:val="00084B66"/>
    <w:rsid w:val="0008541F"/>
    <w:rsid w:val="0008744D"/>
    <w:rsid w:val="00087549"/>
    <w:rsid w:val="00090E3B"/>
    <w:rsid w:val="00090FE7"/>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33F"/>
    <w:rsid w:val="000A6B31"/>
    <w:rsid w:val="000A6F11"/>
    <w:rsid w:val="000A7C9B"/>
    <w:rsid w:val="000B0734"/>
    <w:rsid w:val="000B15C7"/>
    <w:rsid w:val="000B1BF7"/>
    <w:rsid w:val="000B37B0"/>
    <w:rsid w:val="000B3F66"/>
    <w:rsid w:val="000B3F68"/>
    <w:rsid w:val="000B4374"/>
    <w:rsid w:val="000B4F1A"/>
    <w:rsid w:val="000B6341"/>
    <w:rsid w:val="000B719B"/>
    <w:rsid w:val="000C1982"/>
    <w:rsid w:val="000C2857"/>
    <w:rsid w:val="000C2DE2"/>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619"/>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9A7"/>
    <w:rsid w:val="00106F13"/>
    <w:rsid w:val="001076B0"/>
    <w:rsid w:val="001078E1"/>
    <w:rsid w:val="00107CE2"/>
    <w:rsid w:val="00107D91"/>
    <w:rsid w:val="001126A8"/>
    <w:rsid w:val="00112815"/>
    <w:rsid w:val="00112A2C"/>
    <w:rsid w:val="00112A6B"/>
    <w:rsid w:val="00113043"/>
    <w:rsid w:val="001140CC"/>
    <w:rsid w:val="0011467E"/>
    <w:rsid w:val="001156F1"/>
    <w:rsid w:val="0011644D"/>
    <w:rsid w:val="00116A94"/>
    <w:rsid w:val="001174BF"/>
    <w:rsid w:val="001206CE"/>
    <w:rsid w:val="001221BA"/>
    <w:rsid w:val="00122504"/>
    <w:rsid w:val="00122733"/>
    <w:rsid w:val="00123F5C"/>
    <w:rsid w:val="00124C48"/>
    <w:rsid w:val="00131F68"/>
    <w:rsid w:val="00132D35"/>
    <w:rsid w:val="00134550"/>
    <w:rsid w:val="00134681"/>
    <w:rsid w:val="00136F5B"/>
    <w:rsid w:val="00137257"/>
    <w:rsid w:val="00137BB2"/>
    <w:rsid w:val="00140A55"/>
    <w:rsid w:val="00140BD0"/>
    <w:rsid w:val="00141D8E"/>
    <w:rsid w:val="00142B76"/>
    <w:rsid w:val="00143EE8"/>
    <w:rsid w:val="00145138"/>
    <w:rsid w:val="001457F8"/>
    <w:rsid w:val="00146AD5"/>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3B36"/>
    <w:rsid w:val="00184609"/>
    <w:rsid w:val="00185C8C"/>
    <w:rsid w:val="001904E6"/>
    <w:rsid w:val="00191059"/>
    <w:rsid w:val="001919D8"/>
    <w:rsid w:val="001925AB"/>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08F"/>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41"/>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382"/>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2FDA"/>
    <w:rsid w:val="00243B33"/>
    <w:rsid w:val="00244207"/>
    <w:rsid w:val="00246630"/>
    <w:rsid w:val="00247DE7"/>
    <w:rsid w:val="002500FA"/>
    <w:rsid w:val="00250ED8"/>
    <w:rsid w:val="00250F54"/>
    <w:rsid w:val="0025129B"/>
    <w:rsid w:val="00252093"/>
    <w:rsid w:val="0025449C"/>
    <w:rsid w:val="002552C9"/>
    <w:rsid w:val="0025765F"/>
    <w:rsid w:val="00257732"/>
    <w:rsid w:val="00264CBC"/>
    <w:rsid w:val="0026588F"/>
    <w:rsid w:val="0026642F"/>
    <w:rsid w:val="002679A5"/>
    <w:rsid w:val="0027067C"/>
    <w:rsid w:val="00270A4D"/>
    <w:rsid w:val="00271646"/>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498"/>
    <w:rsid w:val="002968A6"/>
    <w:rsid w:val="00296D90"/>
    <w:rsid w:val="0029703E"/>
    <w:rsid w:val="002975A4"/>
    <w:rsid w:val="002A0239"/>
    <w:rsid w:val="002A1860"/>
    <w:rsid w:val="002A1997"/>
    <w:rsid w:val="002A237B"/>
    <w:rsid w:val="002A32E0"/>
    <w:rsid w:val="002A3C84"/>
    <w:rsid w:val="002A3F53"/>
    <w:rsid w:val="002A4221"/>
    <w:rsid w:val="002A6274"/>
    <w:rsid w:val="002A6707"/>
    <w:rsid w:val="002A772B"/>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4909"/>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5E2"/>
    <w:rsid w:val="002F5D09"/>
    <w:rsid w:val="00300C2F"/>
    <w:rsid w:val="003020DB"/>
    <w:rsid w:val="00302775"/>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58FE"/>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637"/>
    <w:rsid w:val="00357003"/>
    <w:rsid w:val="003577A4"/>
    <w:rsid w:val="003578CE"/>
    <w:rsid w:val="00357B9E"/>
    <w:rsid w:val="0036051A"/>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1E9"/>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004"/>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39DD"/>
    <w:rsid w:val="003F4908"/>
    <w:rsid w:val="003F5B6F"/>
    <w:rsid w:val="003F680F"/>
    <w:rsid w:val="00400800"/>
    <w:rsid w:val="00401843"/>
    <w:rsid w:val="004024D0"/>
    <w:rsid w:val="00403536"/>
    <w:rsid w:val="00404119"/>
    <w:rsid w:val="00404453"/>
    <w:rsid w:val="00405D8B"/>
    <w:rsid w:val="00406616"/>
    <w:rsid w:val="00406643"/>
    <w:rsid w:val="00406CE3"/>
    <w:rsid w:val="00410170"/>
    <w:rsid w:val="00410853"/>
    <w:rsid w:val="00410FCF"/>
    <w:rsid w:val="00413B91"/>
    <w:rsid w:val="0041424B"/>
    <w:rsid w:val="00414CFC"/>
    <w:rsid w:val="00415C1C"/>
    <w:rsid w:val="00415F83"/>
    <w:rsid w:val="0041618A"/>
    <w:rsid w:val="00416554"/>
    <w:rsid w:val="004205C2"/>
    <w:rsid w:val="004220A4"/>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69B"/>
    <w:rsid w:val="0043774D"/>
    <w:rsid w:val="00437B11"/>
    <w:rsid w:val="004405AC"/>
    <w:rsid w:val="00440F07"/>
    <w:rsid w:val="004419AC"/>
    <w:rsid w:val="00444D51"/>
    <w:rsid w:val="004474C7"/>
    <w:rsid w:val="00450AD7"/>
    <w:rsid w:val="00450C15"/>
    <w:rsid w:val="004514AB"/>
    <w:rsid w:val="00452F13"/>
    <w:rsid w:val="00454392"/>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480"/>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A34"/>
    <w:rsid w:val="004B2D74"/>
    <w:rsid w:val="004B3C40"/>
    <w:rsid w:val="004B4203"/>
    <w:rsid w:val="004B666D"/>
    <w:rsid w:val="004B739E"/>
    <w:rsid w:val="004B77AB"/>
    <w:rsid w:val="004C006D"/>
    <w:rsid w:val="004C20B7"/>
    <w:rsid w:val="004C3866"/>
    <w:rsid w:val="004C3A52"/>
    <w:rsid w:val="004C6739"/>
    <w:rsid w:val="004C70AC"/>
    <w:rsid w:val="004C7D89"/>
    <w:rsid w:val="004D2730"/>
    <w:rsid w:val="004D3416"/>
    <w:rsid w:val="004D56E5"/>
    <w:rsid w:val="004D5810"/>
    <w:rsid w:val="004D6484"/>
    <w:rsid w:val="004D7C53"/>
    <w:rsid w:val="004E4F56"/>
    <w:rsid w:val="004E51B5"/>
    <w:rsid w:val="004F0C55"/>
    <w:rsid w:val="004F276F"/>
    <w:rsid w:val="004F48E8"/>
    <w:rsid w:val="004F5354"/>
    <w:rsid w:val="004F6A96"/>
    <w:rsid w:val="00501C78"/>
    <w:rsid w:val="00501CCF"/>
    <w:rsid w:val="00502833"/>
    <w:rsid w:val="00502C8A"/>
    <w:rsid w:val="00502F7A"/>
    <w:rsid w:val="00504B4A"/>
    <w:rsid w:val="00505115"/>
    <w:rsid w:val="00505C53"/>
    <w:rsid w:val="00507978"/>
    <w:rsid w:val="00510145"/>
    <w:rsid w:val="0051025C"/>
    <w:rsid w:val="005120F3"/>
    <w:rsid w:val="00512D50"/>
    <w:rsid w:val="00512EA5"/>
    <w:rsid w:val="005133A4"/>
    <w:rsid w:val="00513425"/>
    <w:rsid w:val="0051416D"/>
    <w:rsid w:val="00514B44"/>
    <w:rsid w:val="00514E4C"/>
    <w:rsid w:val="005178CB"/>
    <w:rsid w:val="00517AB0"/>
    <w:rsid w:val="00517BD8"/>
    <w:rsid w:val="00520C52"/>
    <w:rsid w:val="00520CBB"/>
    <w:rsid w:val="00521C4F"/>
    <w:rsid w:val="0052214B"/>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25C8"/>
    <w:rsid w:val="00563224"/>
    <w:rsid w:val="00563432"/>
    <w:rsid w:val="005649D6"/>
    <w:rsid w:val="00564EE0"/>
    <w:rsid w:val="00566FDB"/>
    <w:rsid w:val="00570082"/>
    <w:rsid w:val="00571BA3"/>
    <w:rsid w:val="005722D9"/>
    <w:rsid w:val="005733AF"/>
    <w:rsid w:val="00574532"/>
    <w:rsid w:val="00574C66"/>
    <w:rsid w:val="005758ED"/>
    <w:rsid w:val="00575D67"/>
    <w:rsid w:val="00576C68"/>
    <w:rsid w:val="00576ED8"/>
    <w:rsid w:val="005774C5"/>
    <w:rsid w:val="00580679"/>
    <w:rsid w:val="0058109E"/>
    <w:rsid w:val="00582798"/>
    <w:rsid w:val="00582995"/>
    <w:rsid w:val="00584EE1"/>
    <w:rsid w:val="00584F4D"/>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1583"/>
    <w:rsid w:val="005A2023"/>
    <w:rsid w:val="005A270C"/>
    <w:rsid w:val="005A2821"/>
    <w:rsid w:val="005A2900"/>
    <w:rsid w:val="005A383B"/>
    <w:rsid w:val="005A4788"/>
    <w:rsid w:val="005A4E4C"/>
    <w:rsid w:val="005A54A2"/>
    <w:rsid w:val="005A5613"/>
    <w:rsid w:val="005A6FAF"/>
    <w:rsid w:val="005A76C9"/>
    <w:rsid w:val="005B07C0"/>
    <w:rsid w:val="005B355B"/>
    <w:rsid w:val="005B3A6E"/>
    <w:rsid w:val="005B4539"/>
    <w:rsid w:val="005B6FC6"/>
    <w:rsid w:val="005C327C"/>
    <w:rsid w:val="005C4420"/>
    <w:rsid w:val="005C5681"/>
    <w:rsid w:val="005C6A1D"/>
    <w:rsid w:val="005C73F3"/>
    <w:rsid w:val="005C765C"/>
    <w:rsid w:val="005C7DF6"/>
    <w:rsid w:val="005D02C9"/>
    <w:rsid w:val="005D1097"/>
    <w:rsid w:val="005D55BE"/>
    <w:rsid w:val="005D7CD4"/>
    <w:rsid w:val="005E0296"/>
    <w:rsid w:val="005E264E"/>
    <w:rsid w:val="005E2F27"/>
    <w:rsid w:val="005E50FD"/>
    <w:rsid w:val="005E603A"/>
    <w:rsid w:val="005E62F9"/>
    <w:rsid w:val="005E6D04"/>
    <w:rsid w:val="005E78BA"/>
    <w:rsid w:val="005F0524"/>
    <w:rsid w:val="005F1B4A"/>
    <w:rsid w:val="005F1EF0"/>
    <w:rsid w:val="005F23F4"/>
    <w:rsid w:val="005F2454"/>
    <w:rsid w:val="005F2B91"/>
    <w:rsid w:val="005F2D73"/>
    <w:rsid w:val="005F2EA1"/>
    <w:rsid w:val="005F3137"/>
    <w:rsid w:val="005F444D"/>
    <w:rsid w:val="005F46EA"/>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CD0"/>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6702B"/>
    <w:rsid w:val="00671EA4"/>
    <w:rsid w:val="006736BC"/>
    <w:rsid w:val="006746D5"/>
    <w:rsid w:val="0067532A"/>
    <w:rsid w:val="00675752"/>
    <w:rsid w:val="006770B7"/>
    <w:rsid w:val="006801E4"/>
    <w:rsid w:val="00683A9D"/>
    <w:rsid w:val="00683DB5"/>
    <w:rsid w:val="006840CD"/>
    <w:rsid w:val="00685A4F"/>
    <w:rsid w:val="006878AC"/>
    <w:rsid w:val="00690B2A"/>
    <w:rsid w:val="006936EF"/>
    <w:rsid w:val="006943E9"/>
    <w:rsid w:val="00694A4F"/>
    <w:rsid w:val="00695F64"/>
    <w:rsid w:val="00696548"/>
    <w:rsid w:val="00696D68"/>
    <w:rsid w:val="006A00E0"/>
    <w:rsid w:val="006A103A"/>
    <w:rsid w:val="006A1CE0"/>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561"/>
    <w:rsid w:val="006C5B0E"/>
    <w:rsid w:val="006C5B4E"/>
    <w:rsid w:val="006C655F"/>
    <w:rsid w:val="006C6972"/>
    <w:rsid w:val="006C6CF7"/>
    <w:rsid w:val="006C7324"/>
    <w:rsid w:val="006D005C"/>
    <w:rsid w:val="006D0351"/>
    <w:rsid w:val="006D0F88"/>
    <w:rsid w:val="006D261A"/>
    <w:rsid w:val="006D2944"/>
    <w:rsid w:val="006D3391"/>
    <w:rsid w:val="006D346E"/>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451A"/>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61FE"/>
    <w:rsid w:val="00750A02"/>
    <w:rsid w:val="00751D57"/>
    <w:rsid w:val="00752CD3"/>
    <w:rsid w:val="00753427"/>
    <w:rsid w:val="0075345B"/>
    <w:rsid w:val="0075419A"/>
    <w:rsid w:val="00754C24"/>
    <w:rsid w:val="007557DF"/>
    <w:rsid w:val="0075609B"/>
    <w:rsid w:val="00756E62"/>
    <w:rsid w:val="007600D1"/>
    <w:rsid w:val="007615D2"/>
    <w:rsid w:val="00763AE3"/>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8706A"/>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1AE4"/>
    <w:rsid w:val="007D33C4"/>
    <w:rsid w:val="007D3472"/>
    <w:rsid w:val="007D366D"/>
    <w:rsid w:val="007D4EBE"/>
    <w:rsid w:val="007D5868"/>
    <w:rsid w:val="007D61F4"/>
    <w:rsid w:val="007D6CAB"/>
    <w:rsid w:val="007E038D"/>
    <w:rsid w:val="007E0792"/>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2526"/>
    <w:rsid w:val="007F4B4B"/>
    <w:rsid w:val="007F51CC"/>
    <w:rsid w:val="007F5C40"/>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16FFC"/>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3B6F"/>
    <w:rsid w:val="008455E5"/>
    <w:rsid w:val="0084684C"/>
    <w:rsid w:val="008472B1"/>
    <w:rsid w:val="00850568"/>
    <w:rsid w:val="0085060B"/>
    <w:rsid w:val="00850F36"/>
    <w:rsid w:val="008510EC"/>
    <w:rsid w:val="00851476"/>
    <w:rsid w:val="00852F3B"/>
    <w:rsid w:val="00853253"/>
    <w:rsid w:val="00854B57"/>
    <w:rsid w:val="00854CE2"/>
    <w:rsid w:val="0085591B"/>
    <w:rsid w:val="008569FA"/>
    <w:rsid w:val="008577E3"/>
    <w:rsid w:val="00860CA9"/>
    <w:rsid w:val="00861083"/>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2587"/>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4C82"/>
    <w:rsid w:val="008C5525"/>
    <w:rsid w:val="008C718C"/>
    <w:rsid w:val="008C7352"/>
    <w:rsid w:val="008C78AD"/>
    <w:rsid w:val="008C7C90"/>
    <w:rsid w:val="008D018C"/>
    <w:rsid w:val="008D0461"/>
    <w:rsid w:val="008D08EB"/>
    <w:rsid w:val="008D0BA1"/>
    <w:rsid w:val="008D2B18"/>
    <w:rsid w:val="008D2FA8"/>
    <w:rsid w:val="008D45C5"/>
    <w:rsid w:val="008D5150"/>
    <w:rsid w:val="008D5339"/>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8F7876"/>
    <w:rsid w:val="00900BE0"/>
    <w:rsid w:val="0090170E"/>
    <w:rsid w:val="00901BF4"/>
    <w:rsid w:val="00901C62"/>
    <w:rsid w:val="0090253B"/>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0AF4"/>
    <w:rsid w:val="00921319"/>
    <w:rsid w:val="00921386"/>
    <w:rsid w:val="009265FA"/>
    <w:rsid w:val="00926863"/>
    <w:rsid w:val="00926D7F"/>
    <w:rsid w:val="009276F4"/>
    <w:rsid w:val="0093025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B1C"/>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20A"/>
    <w:rsid w:val="009D43A7"/>
    <w:rsid w:val="009D4C4E"/>
    <w:rsid w:val="009D5403"/>
    <w:rsid w:val="009D59A5"/>
    <w:rsid w:val="009D7337"/>
    <w:rsid w:val="009D7CB0"/>
    <w:rsid w:val="009E0876"/>
    <w:rsid w:val="009E133B"/>
    <w:rsid w:val="009E1E61"/>
    <w:rsid w:val="009E21B4"/>
    <w:rsid w:val="009E38A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36D6"/>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63AF6"/>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23A0"/>
    <w:rsid w:val="00A92401"/>
    <w:rsid w:val="00A93112"/>
    <w:rsid w:val="00A932DE"/>
    <w:rsid w:val="00A9656E"/>
    <w:rsid w:val="00AA186B"/>
    <w:rsid w:val="00AA30D3"/>
    <w:rsid w:val="00AA38F6"/>
    <w:rsid w:val="00AA4965"/>
    <w:rsid w:val="00AA6DDB"/>
    <w:rsid w:val="00AB0830"/>
    <w:rsid w:val="00AB2CCC"/>
    <w:rsid w:val="00AB4F2C"/>
    <w:rsid w:val="00AB57CE"/>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44D3"/>
    <w:rsid w:val="00AE5D21"/>
    <w:rsid w:val="00AE7C5F"/>
    <w:rsid w:val="00AF08A8"/>
    <w:rsid w:val="00AF2019"/>
    <w:rsid w:val="00AF26B7"/>
    <w:rsid w:val="00AF2C89"/>
    <w:rsid w:val="00AF30FD"/>
    <w:rsid w:val="00AF3FC6"/>
    <w:rsid w:val="00AF4B5F"/>
    <w:rsid w:val="00AF5B6E"/>
    <w:rsid w:val="00AF79AE"/>
    <w:rsid w:val="00B006E5"/>
    <w:rsid w:val="00B00CFD"/>
    <w:rsid w:val="00B01374"/>
    <w:rsid w:val="00B01F74"/>
    <w:rsid w:val="00B02343"/>
    <w:rsid w:val="00B02E8B"/>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58B2"/>
    <w:rsid w:val="00B16155"/>
    <w:rsid w:val="00B171FD"/>
    <w:rsid w:val="00B17588"/>
    <w:rsid w:val="00B17FBC"/>
    <w:rsid w:val="00B200F9"/>
    <w:rsid w:val="00B20D58"/>
    <w:rsid w:val="00B22535"/>
    <w:rsid w:val="00B2441D"/>
    <w:rsid w:val="00B24E10"/>
    <w:rsid w:val="00B25E7E"/>
    <w:rsid w:val="00B2670C"/>
    <w:rsid w:val="00B310C1"/>
    <w:rsid w:val="00B32231"/>
    <w:rsid w:val="00B3340E"/>
    <w:rsid w:val="00B35B1E"/>
    <w:rsid w:val="00B35E99"/>
    <w:rsid w:val="00B3764F"/>
    <w:rsid w:val="00B41334"/>
    <w:rsid w:val="00B43080"/>
    <w:rsid w:val="00B431B1"/>
    <w:rsid w:val="00B43E73"/>
    <w:rsid w:val="00B4464A"/>
    <w:rsid w:val="00B44C8C"/>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339"/>
    <w:rsid w:val="00B91865"/>
    <w:rsid w:val="00B91B0A"/>
    <w:rsid w:val="00B93871"/>
    <w:rsid w:val="00B93EA9"/>
    <w:rsid w:val="00B944C1"/>
    <w:rsid w:val="00B9495C"/>
    <w:rsid w:val="00B94A0E"/>
    <w:rsid w:val="00B95827"/>
    <w:rsid w:val="00B95988"/>
    <w:rsid w:val="00BA01DD"/>
    <w:rsid w:val="00BA08E0"/>
    <w:rsid w:val="00BA0B00"/>
    <w:rsid w:val="00BA118E"/>
    <w:rsid w:val="00BA1D39"/>
    <w:rsid w:val="00BA3247"/>
    <w:rsid w:val="00BA4481"/>
    <w:rsid w:val="00BA4FFC"/>
    <w:rsid w:val="00BA5207"/>
    <w:rsid w:val="00BA5A30"/>
    <w:rsid w:val="00BA6260"/>
    <w:rsid w:val="00BA62BE"/>
    <w:rsid w:val="00BA6901"/>
    <w:rsid w:val="00BA72DC"/>
    <w:rsid w:val="00BA7521"/>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0EE0"/>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40DD"/>
    <w:rsid w:val="00C1090B"/>
    <w:rsid w:val="00C10DD0"/>
    <w:rsid w:val="00C13017"/>
    <w:rsid w:val="00C138B5"/>
    <w:rsid w:val="00C13FBE"/>
    <w:rsid w:val="00C141CA"/>
    <w:rsid w:val="00C149A3"/>
    <w:rsid w:val="00C168B1"/>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5D0B"/>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6854"/>
    <w:rsid w:val="00C96FE9"/>
    <w:rsid w:val="00C97222"/>
    <w:rsid w:val="00C9795F"/>
    <w:rsid w:val="00CA0DAE"/>
    <w:rsid w:val="00CA0E49"/>
    <w:rsid w:val="00CA1535"/>
    <w:rsid w:val="00CA5087"/>
    <w:rsid w:val="00CA58EE"/>
    <w:rsid w:val="00CA5C3C"/>
    <w:rsid w:val="00CA7EEF"/>
    <w:rsid w:val="00CB1649"/>
    <w:rsid w:val="00CB179D"/>
    <w:rsid w:val="00CB3E5E"/>
    <w:rsid w:val="00CB4EBD"/>
    <w:rsid w:val="00CB6338"/>
    <w:rsid w:val="00CB76AA"/>
    <w:rsid w:val="00CB790E"/>
    <w:rsid w:val="00CC1407"/>
    <w:rsid w:val="00CC1453"/>
    <w:rsid w:val="00CC450D"/>
    <w:rsid w:val="00CC4FFC"/>
    <w:rsid w:val="00CC5328"/>
    <w:rsid w:val="00CC77F9"/>
    <w:rsid w:val="00CC7CC0"/>
    <w:rsid w:val="00CD0735"/>
    <w:rsid w:val="00CD3D23"/>
    <w:rsid w:val="00CD42E0"/>
    <w:rsid w:val="00CD5322"/>
    <w:rsid w:val="00CD5934"/>
    <w:rsid w:val="00CD5AF5"/>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CF7508"/>
    <w:rsid w:val="00D004AD"/>
    <w:rsid w:val="00D0158C"/>
    <w:rsid w:val="00D01B92"/>
    <w:rsid w:val="00D02935"/>
    <w:rsid w:val="00D02C80"/>
    <w:rsid w:val="00D02FA1"/>
    <w:rsid w:val="00D056E9"/>
    <w:rsid w:val="00D07A89"/>
    <w:rsid w:val="00D1064A"/>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096"/>
    <w:rsid w:val="00D23119"/>
    <w:rsid w:val="00D241D4"/>
    <w:rsid w:val="00D24A69"/>
    <w:rsid w:val="00D254E6"/>
    <w:rsid w:val="00D25520"/>
    <w:rsid w:val="00D2634E"/>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51FD"/>
    <w:rsid w:val="00D66DDD"/>
    <w:rsid w:val="00D67EB7"/>
    <w:rsid w:val="00D70367"/>
    <w:rsid w:val="00D7554F"/>
    <w:rsid w:val="00D765DD"/>
    <w:rsid w:val="00D76854"/>
    <w:rsid w:val="00D80C46"/>
    <w:rsid w:val="00D818DF"/>
    <w:rsid w:val="00D825A8"/>
    <w:rsid w:val="00D82BE9"/>
    <w:rsid w:val="00D83201"/>
    <w:rsid w:val="00D8337E"/>
    <w:rsid w:val="00D8345D"/>
    <w:rsid w:val="00D87651"/>
    <w:rsid w:val="00D9015E"/>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5AC7"/>
    <w:rsid w:val="00DE78F0"/>
    <w:rsid w:val="00DF001D"/>
    <w:rsid w:val="00DF0A63"/>
    <w:rsid w:val="00DF1613"/>
    <w:rsid w:val="00DF2285"/>
    <w:rsid w:val="00DF3F6F"/>
    <w:rsid w:val="00DF4489"/>
    <w:rsid w:val="00DF50B5"/>
    <w:rsid w:val="00DF6212"/>
    <w:rsid w:val="00DF6BF3"/>
    <w:rsid w:val="00DF6C42"/>
    <w:rsid w:val="00DF7242"/>
    <w:rsid w:val="00DF72CB"/>
    <w:rsid w:val="00DF7DE6"/>
    <w:rsid w:val="00E020A8"/>
    <w:rsid w:val="00E02101"/>
    <w:rsid w:val="00E03122"/>
    <w:rsid w:val="00E03A10"/>
    <w:rsid w:val="00E03F7B"/>
    <w:rsid w:val="00E04C04"/>
    <w:rsid w:val="00E054E4"/>
    <w:rsid w:val="00E06BEC"/>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072"/>
    <w:rsid w:val="00E321EB"/>
    <w:rsid w:val="00E32892"/>
    <w:rsid w:val="00E330BA"/>
    <w:rsid w:val="00E34DED"/>
    <w:rsid w:val="00E368E8"/>
    <w:rsid w:val="00E36D6E"/>
    <w:rsid w:val="00E37C8B"/>
    <w:rsid w:val="00E37ECE"/>
    <w:rsid w:val="00E405B9"/>
    <w:rsid w:val="00E41941"/>
    <w:rsid w:val="00E422F9"/>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2891"/>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8B6"/>
    <w:rsid w:val="00EA7A7E"/>
    <w:rsid w:val="00EB205D"/>
    <w:rsid w:val="00EB2081"/>
    <w:rsid w:val="00EB2852"/>
    <w:rsid w:val="00EB2E05"/>
    <w:rsid w:val="00EB348F"/>
    <w:rsid w:val="00EB39B5"/>
    <w:rsid w:val="00EB55BA"/>
    <w:rsid w:val="00EB5B50"/>
    <w:rsid w:val="00EB5E36"/>
    <w:rsid w:val="00EB67CC"/>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4645"/>
    <w:rsid w:val="00EE5475"/>
    <w:rsid w:val="00EE7415"/>
    <w:rsid w:val="00EF0934"/>
    <w:rsid w:val="00EF1A36"/>
    <w:rsid w:val="00EF277D"/>
    <w:rsid w:val="00EF350D"/>
    <w:rsid w:val="00EF4A01"/>
    <w:rsid w:val="00EF56B9"/>
    <w:rsid w:val="00EF5AF0"/>
    <w:rsid w:val="00EF5E5B"/>
    <w:rsid w:val="00EF62FD"/>
    <w:rsid w:val="00F0181A"/>
    <w:rsid w:val="00F01EE6"/>
    <w:rsid w:val="00F01F98"/>
    <w:rsid w:val="00F02219"/>
    <w:rsid w:val="00F03665"/>
    <w:rsid w:val="00F03D4C"/>
    <w:rsid w:val="00F04743"/>
    <w:rsid w:val="00F07460"/>
    <w:rsid w:val="00F07EC7"/>
    <w:rsid w:val="00F10A6E"/>
    <w:rsid w:val="00F10D1E"/>
    <w:rsid w:val="00F11111"/>
    <w:rsid w:val="00F1189D"/>
    <w:rsid w:val="00F11A81"/>
    <w:rsid w:val="00F11A8A"/>
    <w:rsid w:val="00F13A6D"/>
    <w:rsid w:val="00F143A1"/>
    <w:rsid w:val="00F156A3"/>
    <w:rsid w:val="00F1597E"/>
    <w:rsid w:val="00F16329"/>
    <w:rsid w:val="00F17407"/>
    <w:rsid w:val="00F179A4"/>
    <w:rsid w:val="00F20E62"/>
    <w:rsid w:val="00F21C87"/>
    <w:rsid w:val="00F21E1D"/>
    <w:rsid w:val="00F22A33"/>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2DB3"/>
    <w:rsid w:val="00FB5A70"/>
    <w:rsid w:val="00FC0689"/>
    <w:rsid w:val="00FC13F0"/>
    <w:rsid w:val="00FC337B"/>
    <w:rsid w:val="00FC3CB2"/>
    <w:rsid w:val="00FC5AA7"/>
    <w:rsid w:val="00FC6E48"/>
    <w:rsid w:val="00FD0547"/>
    <w:rsid w:val="00FD3587"/>
    <w:rsid w:val="00FD42FF"/>
    <w:rsid w:val="00FD4B6C"/>
    <w:rsid w:val="00FD5199"/>
    <w:rsid w:val="00FE081A"/>
    <w:rsid w:val="00FE0E9B"/>
    <w:rsid w:val="00FE0EA5"/>
    <w:rsid w:val="00FE17CC"/>
    <w:rsid w:val="00FE20A2"/>
    <w:rsid w:val="00FE2B95"/>
    <w:rsid w:val="00FE2D66"/>
    <w:rsid w:val="00FE2E16"/>
    <w:rsid w:val="00FE3C92"/>
    <w:rsid w:val="00FE3E94"/>
    <w:rsid w:val="00FE3F37"/>
    <w:rsid w:val="00FE40D1"/>
    <w:rsid w:val="00FE42C7"/>
    <w:rsid w:val="00FE4FA5"/>
    <w:rsid w:val="00FE546E"/>
    <w:rsid w:val="00FE6453"/>
    <w:rsid w:val="00FE66B1"/>
    <w:rsid w:val="00FE6C94"/>
    <w:rsid w:val="00FE6F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08161149/https://eur-lex.europa.eu/eli/reg_del/2021/1255/oj/eng" TargetMode="External"/><Relationship Id="rId26"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hyperlink" Target="https://web.archive.org/web/20250729110405/https://www.esma.europa.eu/sites/default/files/2024-06/ESMA36-287652198-2699_Final_Report_on_Greenwashing.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8161005/https://eur-lex.europa.eu/eli/reg_del/2021/1253/oj/eng" TargetMode="External"/><Relationship Id="rId25" Type="http://schemas.openxmlformats.org/officeDocument/2006/relationships/hyperlink" Target="https://www.fsb.org/uploads/P131022-1.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708161706/https://eur-lex.europa.eu/legal-content/EN/TXT/?uri=CELEX%3A02015R0035-20241114"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ww.bis.org/fsi/fsibriefs18.pdf"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eb.archive.org/web/20250729110808/https://www.skadden.com/insights/publications/2024/11/the-standard-formula-a-guide-to-solvency-ii-chapter-13" TargetMode="External"/><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eb.archive.org/web/20250708161319/https://eur-lex.europa.eu/eli/reg_del/2021/1257/oj/eng"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eb.archive.org/web/20250729110534/https://www.lexology.com/library/detail.aspx?g=150cf0c6-7f2f-473c-87bf-84dbd2e52bb6" TargetMode="External"/><Relationship Id="rId27"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116</Pages>
  <Words>24144</Words>
  <Characters>137623</Characters>
  <Application>Microsoft Office Word</Application>
  <DocSecurity>0</DocSecurity>
  <Lines>1146</Lines>
  <Paragraphs>322</Paragraphs>
  <ScaleCrop>false</ScaleCrop>
  <Company/>
  <LinksUpToDate>false</LinksUpToDate>
  <CharactersWithSpaces>161445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Margarida Marques</cp:lastModifiedBy>
  <cp:revision>157</cp:revision>
  <cp:lastPrinted>2025-03-21T00:14:00Z</cp:lastPrinted>
  <dcterms:created xsi:type="dcterms:W3CDTF">2025-06-19T12:16:00Z</dcterms:created>
  <dcterms:modified xsi:type="dcterms:W3CDTF">2025-07-29T16:09:00Z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